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E0FB8" w14:textId="77777777" w:rsidR="005C3467" w:rsidRPr="005C3467" w:rsidRDefault="008202F3" w:rsidP="005C3467">
      <w:pPr>
        <w:rPr>
          <w:rFonts w:ascii="Garamond" w:hAnsi="Garamond"/>
          <w:i/>
          <w:sz w:val="30"/>
          <w:szCs w:val="30"/>
        </w:rPr>
      </w:pPr>
      <w:r>
        <w:rPr>
          <w:rFonts w:ascii="Garamond" w:hAnsi="Garamond"/>
          <w:b/>
          <w:sz w:val="30"/>
          <w:szCs w:val="30"/>
        </w:rPr>
        <w:t>&lt;</w:t>
      </w:r>
      <w:proofErr w:type="gramStart"/>
      <w:r>
        <w:rPr>
          <w:rFonts w:ascii="Garamond" w:hAnsi="Garamond"/>
          <w:b/>
          <w:sz w:val="30"/>
          <w:szCs w:val="30"/>
        </w:rPr>
        <w:t>redacted</w:t>
      </w:r>
      <w:proofErr w:type="gramEnd"/>
      <w:r>
        <w:rPr>
          <w:rFonts w:ascii="Garamond" w:hAnsi="Garamond"/>
          <w:b/>
          <w:sz w:val="30"/>
          <w:szCs w:val="30"/>
        </w:rPr>
        <w:t>&gt;&lt;/redacted&gt;</w:t>
      </w:r>
    </w:p>
    <w:p w14:paraId="63ADDE55" w14:textId="77777777" w:rsidR="005C3467" w:rsidRPr="005C3467" w:rsidRDefault="005C3467" w:rsidP="005C3467"/>
    <w:p w14:paraId="20375094" w14:textId="77777777" w:rsidR="00B816D9" w:rsidRPr="009A0043" w:rsidRDefault="00B816D9" w:rsidP="00966DD6">
      <w:pPr>
        <w:pStyle w:val="Title"/>
        <w:ind w:left="720"/>
        <w:rPr>
          <w:szCs w:val="24"/>
        </w:rPr>
      </w:pPr>
      <w:r w:rsidRPr="009A0043">
        <w:rPr>
          <w:szCs w:val="24"/>
        </w:rPr>
        <w:t>UNITED STATES DISTRICT COURT</w:t>
      </w:r>
    </w:p>
    <w:p w14:paraId="051AEE40" w14:textId="77777777" w:rsidR="00B816D9" w:rsidRPr="009A0043" w:rsidRDefault="00B816D9" w:rsidP="00966DD6">
      <w:pPr>
        <w:ind w:left="720"/>
        <w:jc w:val="center"/>
        <w:rPr>
          <w:b/>
          <w:szCs w:val="24"/>
        </w:rPr>
      </w:pPr>
      <w:r w:rsidRPr="009A0043">
        <w:rPr>
          <w:b/>
          <w:szCs w:val="24"/>
        </w:rPr>
        <w:t>DISTRICT OF MOOT</w:t>
      </w:r>
    </w:p>
    <w:p w14:paraId="7532AE5E" w14:textId="77777777" w:rsidR="00D71BB0" w:rsidRPr="009A0043" w:rsidRDefault="00D71BB0" w:rsidP="00966DD6">
      <w:pPr>
        <w:ind w:left="720"/>
        <w:rPr>
          <w:szCs w:val="24"/>
        </w:rPr>
      </w:pPr>
    </w:p>
    <w:tbl>
      <w:tblPr>
        <w:tblW w:w="8856" w:type="dxa"/>
        <w:tblInd w:w="1008" w:type="dxa"/>
        <w:tblBorders>
          <w:top w:val="single" w:sz="4" w:space="0" w:color="auto"/>
          <w:bottom w:val="single" w:sz="4" w:space="0" w:color="auto"/>
        </w:tblBorders>
        <w:tblLayout w:type="fixed"/>
        <w:tblLook w:val="04A0" w:firstRow="1" w:lastRow="0" w:firstColumn="1" w:lastColumn="0" w:noHBand="0" w:noVBand="1"/>
      </w:tblPr>
      <w:tblGrid>
        <w:gridCol w:w="4428"/>
        <w:gridCol w:w="4428"/>
      </w:tblGrid>
      <w:tr w:rsidR="00B816D9" w:rsidRPr="009A0043" w14:paraId="14BB4154" w14:textId="77777777" w:rsidTr="001F7E06">
        <w:trPr>
          <w:trHeight w:val="630"/>
        </w:trPr>
        <w:tc>
          <w:tcPr>
            <w:tcW w:w="4428" w:type="dxa"/>
            <w:tcBorders>
              <w:right w:val="single" w:sz="4" w:space="0" w:color="auto"/>
            </w:tcBorders>
            <w:hideMark/>
          </w:tcPr>
          <w:p w14:paraId="345830EE" w14:textId="77777777" w:rsidR="00B816D9" w:rsidRPr="009A0043" w:rsidRDefault="00B816D9" w:rsidP="00966DD6">
            <w:pPr>
              <w:pStyle w:val="Footer"/>
              <w:widowControl w:val="0"/>
              <w:tabs>
                <w:tab w:val="left" w:pos="720"/>
              </w:tabs>
              <w:rPr>
                <w:snapToGrid w:val="0"/>
                <w:szCs w:val="24"/>
              </w:rPr>
            </w:pPr>
            <w:r w:rsidRPr="009A0043">
              <w:rPr>
                <w:snapToGrid w:val="0"/>
                <w:szCs w:val="24"/>
              </w:rPr>
              <w:t xml:space="preserve">OGS TV, INC.         </w:t>
            </w:r>
          </w:p>
          <w:p w14:paraId="3659D9C7" w14:textId="77777777" w:rsidR="00B816D9" w:rsidRPr="009A0043" w:rsidRDefault="00B816D9" w:rsidP="00966DD6">
            <w:pPr>
              <w:pStyle w:val="Footer"/>
              <w:widowControl w:val="0"/>
              <w:tabs>
                <w:tab w:val="left" w:pos="720"/>
              </w:tabs>
              <w:rPr>
                <w:snapToGrid w:val="0"/>
                <w:szCs w:val="24"/>
              </w:rPr>
            </w:pPr>
            <w:r w:rsidRPr="009A0043">
              <w:rPr>
                <w:snapToGrid w:val="0"/>
                <w:szCs w:val="24"/>
              </w:rPr>
              <w:t xml:space="preserve">                          Plaintiff</w:t>
            </w:r>
            <w:r w:rsidR="00FD53E9">
              <w:rPr>
                <w:snapToGrid w:val="0"/>
                <w:szCs w:val="24"/>
              </w:rPr>
              <w:t>,</w:t>
            </w:r>
          </w:p>
        </w:tc>
        <w:tc>
          <w:tcPr>
            <w:tcW w:w="4428" w:type="dxa"/>
            <w:tcBorders>
              <w:top w:val="single" w:sz="4" w:space="0" w:color="auto"/>
              <w:left w:val="single" w:sz="4" w:space="0" w:color="auto"/>
              <w:bottom w:val="nil"/>
            </w:tcBorders>
            <w:hideMark/>
          </w:tcPr>
          <w:p w14:paraId="30046D6D" w14:textId="77777777" w:rsidR="00D71BB0" w:rsidRPr="009A0043" w:rsidRDefault="00B816D9" w:rsidP="00966DD6">
            <w:pPr>
              <w:pStyle w:val="Footer"/>
              <w:widowControl w:val="0"/>
              <w:tabs>
                <w:tab w:val="left" w:pos="720"/>
              </w:tabs>
              <w:rPr>
                <w:snapToGrid w:val="0"/>
                <w:szCs w:val="24"/>
              </w:rPr>
            </w:pPr>
            <w:r w:rsidRPr="009A0043">
              <w:rPr>
                <w:snapToGrid w:val="0"/>
                <w:szCs w:val="24"/>
              </w:rPr>
              <w:t xml:space="preserve">               </w:t>
            </w:r>
          </w:p>
          <w:p w14:paraId="34E6C909" w14:textId="77777777" w:rsidR="00B816D9" w:rsidRPr="009A0043" w:rsidRDefault="00D71BB0" w:rsidP="00966DD6">
            <w:pPr>
              <w:pStyle w:val="Footer"/>
              <w:widowControl w:val="0"/>
              <w:tabs>
                <w:tab w:val="left" w:pos="720"/>
              </w:tabs>
              <w:rPr>
                <w:snapToGrid w:val="0"/>
                <w:szCs w:val="24"/>
              </w:rPr>
            </w:pPr>
            <w:r w:rsidRPr="009A0043">
              <w:rPr>
                <w:snapToGrid w:val="0"/>
                <w:szCs w:val="24"/>
              </w:rPr>
              <w:t xml:space="preserve">              Case</w:t>
            </w:r>
            <w:r w:rsidR="00B816D9" w:rsidRPr="009A0043">
              <w:rPr>
                <w:snapToGrid w:val="0"/>
                <w:szCs w:val="24"/>
              </w:rPr>
              <w:t xml:space="preserve"> No. 27-CV-12-1234</w:t>
            </w:r>
          </w:p>
        </w:tc>
      </w:tr>
      <w:tr w:rsidR="00D71BB0" w:rsidRPr="009A0043" w14:paraId="4187DBF2" w14:textId="77777777" w:rsidTr="001F7E06">
        <w:tc>
          <w:tcPr>
            <w:tcW w:w="4428" w:type="dxa"/>
            <w:tcBorders>
              <w:right w:val="single" w:sz="4" w:space="0" w:color="auto"/>
            </w:tcBorders>
          </w:tcPr>
          <w:p w14:paraId="6EC5EBEF" w14:textId="77777777" w:rsidR="00D71BB0" w:rsidRPr="009A0043" w:rsidRDefault="00D71BB0" w:rsidP="00966DD6">
            <w:pPr>
              <w:pStyle w:val="Footer"/>
              <w:widowControl w:val="0"/>
              <w:tabs>
                <w:tab w:val="left" w:pos="720"/>
              </w:tabs>
              <w:rPr>
                <w:snapToGrid w:val="0"/>
                <w:szCs w:val="24"/>
              </w:rPr>
            </w:pPr>
            <w:proofErr w:type="gramStart"/>
            <w:r w:rsidRPr="009A0043">
              <w:rPr>
                <w:snapToGrid w:val="0"/>
                <w:szCs w:val="24"/>
              </w:rPr>
              <w:t>v</w:t>
            </w:r>
            <w:proofErr w:type="gramEnd"/>
            <w:r w:rsidRPr="009A0043">
              <w:rPr>
                <w:snapToGrid w:val="0"/>
                <w:szCs w:val="24"/>
              </w:rPr>
              <w:t>.</w:t>
            </w:r>
          </w:p>
          <w:p w14:paraId="39F92769" w14:textId="77777777" w:rsidR="00790E6E" w:rsidRPr="009A0043" w:rsidRDefault="00790E6E" w:rsidP="00966DD6">
            <w:pPr>
              <w:pStyle w:val="Footer"/>
              <w:widowControl w:val="0"/>
              <w:tabs>
                <w:tab w:val="left" w:pos="720"/>
              </w:tabs>
              <w:rPr>
                <w:snapToGrid w:val="0"/>
                <w:szCs w:val="24"/>
              </w:rPr>
            </w:pPr>
          </w:p>
        </w:tc>
        <w:tc>
          <w:tcPr>
            <w:tcW w:w="4428" w:type="dxa"/>
            <w:vMerge w:val="restart"/>
            <w:tcBorders>
              <w:top w:val="nil"/>
              <w:left w:val="single" w:sz="4" w:space="0" w:color="auto"/>
              <w:bottom w:val="single" w:sz="4" w:space="0" w:color="auto"/>
            </w:tcBorders>
            <w:hideMark/>
          </w:tcPr>
          <w:p w14:paraId="2669BD17" w14:textId="77777777" w:rsidR="00D71BB0" w:rsidRPr="009A0043" w:rsidRDefault="00D71BB0" w:rsidP="00966DD6">
            <w:pPr>
              <w:ind w:left="612"/>
              <w:rPr>
                <w:b/>
                <w:snapToGrid w:val="0"/>
                <w:szCs w:val="24"/>
                <w:u w:val="single"/>
              </w:rPr>
            </w:pPr>
            <w:r w:rsidRPr="009A0043">
              <w:rPr>
                <w:b/>
                <w:snapToGrid w:val="0"/>
                <w:szCs w:val="24"/>
                <w:u w:val="single"/>
              </w:rPr>
              <w:t>MEMORANDUM OF LAW IN SUPPORT OF DEFENDANTS’ MOTION TO DISMISS UNDER FEDERAL RULE OF CIVIL PROCEDURE 12(b)(6)</w:t>
            </w:r>
          </w:p>
        </w:tc>
      </w:tr>
      <w:tr w:rsidR="00D71BB0" w:rsidRPr="009A0043" w14:paraId="097F172C" w14:textId="77777777" w:rsidTr="001F7E06">
        <w:tc>
          <w:tcPr>
            <w:tcW w:w="4428" w:type="dxa"/>
            <w:tcBorders>
              <w:right w:val="single" w:sz="4" w:space="0" w:color="auto"/>
            </w:tcBorders>
          </w:tcPr>
          <w:p w14:paraId="140D9C6C" w14:textId="77777777" w:rsidR="00D71BB0" w:rsidRPr="009A0043" w:rsidRDefault="00D71BB0" w:rsidP="00966DD6">
            <w:pPr>
              <w:pStyle w:val="Footer"/>
              <w:widowControl w:val="0"/>
              <w:tabs>
                <w:tab w:val="left" w:pos="720"/>
              </w:tabs>
              <w:rPr>
                <w:snapToGrid w:val="0"/>
                <w:szCs w:val="24"/>
              </w:rPr>
            </w:pPr>
            <w:r w:rsidRPr="009A0043">
              <w:rPr>
                <w:snapToGrid w:val="0"/>
                <w:szCs w:val="24"/>
              </w:rPr>
              <w:t xml:space="preserve">Elizabeth Lime, and </w:t>
            </w:r>
            <w:proofErr w:type="spellStart"/>
            <w:r w:rsidRPr="009A0043">
              <w:rPr>
                <w:snapToGrid w:val="0"/>
                <w:szCs w:val="24"/>
              </w:rPr>
              <w:t>TinyTV</w:t>
            </w:r>
            <w:proofErr w:type="spellEnd"/>
            <w:r w:rsidRPr="009A0043">
              <w:rPr>
                <w:snapToGrid w:val="0"/>
                <w:szCs w:val="24"/>
              </w:rPr>
              <w:t>, Inc.</w:t>
            </w:r>
          </w:p>
          <w:p w14:paraId="693695FA" w14:textId="77777777" w:rsidR="00D71BB0" w:rsidRPr="009A0043" w:rsidRDefault="00D71BB0" w:rsidP="00966DD6">
            <w:pPr>
              <w:pStyle w:val="Footer"/>
              <w:widowControl w:val="0"/>
              <w:tabs>
                <w:tab w:val="left" w:pos="720"/>
              </w:tabs>
              <w:rPr>
                <w:snapToGrid w:val="0"/>
                <w:szCs w:val="24"/>
              </w:rPr>
            </w:pPr>
            <w:r w:rsidRPr="009A0043">
              <w:rPr>
                <w:snapToGrid w:val="0"/>
                <w:szCs w:val="24"/>
              </w:rPr>
              <w:t xml:space="preserve">                        Defendants.</w:t>
            </w:r>
          </w:p>
        </w:tc>
        <w:tc>
          <w:tcPr>
            <w:tcW w:w="4428" w:type="dxa"/>
            <w:vMerge/>
            <w:tcBorders>
              <w:top w:val="nil"/>
              <w:left w:val="single" w:sz="4" w:space="0" w:color="auto"/>
              <w:bottom w:val="single" w:sz="4" w:space="0" w:color="auto"/>
            </w:tcBorders>
            <w:hideMark/>
          </w:tcPr>
          <w:p w14:paraId="6E24813E" w14:textId="77777777" w:rsidR="00D71BB0" w:rsidRPr="009A0043" w:rsidRDefault="00D71BB0" w:rsidP="00966DD6">
            <w:pPr>
              <w:ind w:left="612"/>
              <w:rPr>
                <w:szCs w:val="24"/>
              </w:rPr>
            </w:pPr>
          </w:p>
        </w:tc>
      </w:tr>
    </w:tbl>
    <w:p w14:paraId="6BA898F8" w14:textId="77777777" w:rsidR="000B41B4" w:rsidRPr="009A0043" w:rsidRDefault="000B41B4" w:rsidP="00966DD6">
      <w:pPr>
        <w:pStyle w:val="Footer"/>
        <w:widowControl w:val="0"/>
        <w:tabs>
          <w:tab w:val="clear" w:pos="4320"/>
          <w:tab w:val="clear" w:pos="8640"/>
        </w:tabs>
        <w:snapToGrid w:val="0"/>
        <w:ind w:left="720"/>
        <w:rPr>
          <w:szCs w:val="24"/>
        </w:rPr>
      </w:pPr>
    </w:p>
    <w:p w14:paraId="3E0165D1" w14:textId="77777777" w:rsidR="00D71BB0" w:rsidRPr="009A0043" w:rsidRDefault="00D71BB0" w:rsidP="00E2020D">
      <w:pPr>
        <w:pStyle w:val="Footer"/>
        <w:widowControl w:val="0"/>
        <w:tabs>
          <w:tab w:val="clear" w:pos="4320"/>
          <w:tab w:val="clear" w:pos="8640"/>
        </w:tabs>
        <w:snapToGrid w:val="0"/>
        <w:spacing w:line="480" w:lineRule="auto"/>
        <w:ind w:left="720"/>
        <w:jc w:val="center"/>
        <w:rPr>
          <w:b/>
          <w:szCs w:val="24"/>
          <w:u w:val="single"/>
        </w:rPr>
      </w:pPr>
      <w:r w:rsidRPr="009A0043">
        <w:rPr>
          <w:b/>
          <w:szCs w:val="24"/>
          <w:u w:val="single"/>
        </w:rPr>
        <w:t>INTRODUCTION</w:t>
      </w:r>
    </w:p>
    <w:p w14:paraId="56ABE95A" w14:textId="77777777" w:rsidR="007977F1" w:rsidRDefault="00D71BB0" w:rsidP="00E2020D">
      <w:pPr>
        <w:pStyle w:val="Footer"/>
        <w:widowControl w:val="0"/>
        <w:tabs>
          <w:tab w:val="clear" w:pos="4320"/>
          <w:tab w:val="clear" w:pos="8640"/>
        </w:tabs>
        <w:snapToGrid w:val="0"/>
        <w:spacing w:line="480" w:lineRule="auto"/>
        <w:ind w:firstLine="720"/>
        <w:rPr>
          <w:szCs w:val="24"/>
        </w:rPr>
      </w:pPr>
      <w:r w:rsidRPr="009A0043">
        <w:rPr>
          <w:szCs w:val="24"/>
        </w:rPr>
        <w:t xml:space="preserve">The </w:t>
      </w:r>
      <w:r w:rsidR="00D357A8" w:rsidRPr="009A0043">
        <w:rPr>
          <w:szCs w:val="24"/>
        </w:rPr>
        <w:t>D</w:t>
      </w:r>
      <w:r w:rsidRPr="009A0043">
        <w:rPr>
          <w:szCs w:val="24"/>
        </w:rPr>
        <w:t>efendants</w:t>
      </w:r>
      <w:r w:rsidR="00D357A8" w:rsidRPr="009A0043">
        <w:rPr>
          <w:szCs w:val="24"/>
        </w:rPr>
        <w:t xml:space="preserve"> </w:t>
      </w:r>
      <w:r w:rsidRPr="009A0043">
        <w:rPr>
          <w:szCs w:val="24"/>
        </w:rPr>
        <w:t xml:space="preserve">Elizabeth Lime (“Lime”) and </w:t>
      </w:r>
      <w:proofErr w:type="spellStart"/>
      <w:r w:rsidRPr="009A0043">
        <w:rPr>
          <w:szCs w:val="24"/>
        </w:rPr>
        <w:t>TinyTV</w:t>
      </w:r>
      <w:proofErr w:type="spellEnd"/>
      <w:r w:rsidRPr="009A0043">
        <w:rPr>
          <w:szCs w:val="24"/>
        </w:rPr>
        <w:t>, Inc. (“</w:t>
      </w:r>
      <w:proofErr w:type="spellStart"/>
      <w:r w:rsidRPr="009A0043">
        <w:rPr>
          <w:szCs w:val="24"/>
        </w:rPr>
        <w:t>TinyTV</w:t>
      </w:r>
      <w:proofErr w:type="spellEnd"/>
      <w:r w:rsidRPr="009A0043">
        <w:rPr>
          <w:szCs w:val="24"/>
        </w:rPr>
        <w:t>”) submit this Memorandum in support of their Motio</w:t>
      </w:r>
      <w:r w:rsidR="007977F1">
        <w:rPr>
          <w:szCs w:val="24"/>
        </w:rPr>
        <w:t>n to Dismiss under Federal Rule</w:t>
      </w:r>
      <w:r w:rsidRPr="009A0043">
        <w:rPr>
          <w:szCs w:val="24"/>
        </w:rPr>
        <w:t xml:space="preserve"> of Civil Procedure 12(b)(6</w:t>
      </w:r>
      <w:r w:rsidR="007977F1">
        <w:rPr>
          <w:szCs w:val="24"/>
        </w:rPr>
        <w:t>)</w:t>
      </w:r>
      <w:r w:rsidRPr="009A0043">
        <w:rPr>
          <w:szCs w:val="24"/>
        </w:rPr>
        <w:t>. The Plaintiff</w:t>
      </w:r>
      <w:r w:rsidR="009630F4" w:rsidRPr="009A0043">
        <w:rPr>
          <w:szCs w:val="24"/>
        </w:rPr>
        <w:t>,</w:t>
      </w:r>
      <w:r w:rsidR="00A91C51" w:rsidRPr="009A0043">
        <w:rPr>
          <w:szCs w:val="24"/>
        </w:rPr>
        <w:t xml:space="preserve"> </w:t>
      </w:r>
      <w:r w:rsidRPr="009A0043">
        <w:rPr>
          <w:szCs w:val="24"/>
        </w:rPr>
        <w:t>OGS TV, INC. (“OGS”</w:t>
      </w:r>
      <w:r w:rsidR="00A91C51" w:rsidRPr="009A0043">
        <w:rPr>
          <w:szCs w:val="24"/>
        </w:rPr>
        <w:t>)</w:t>
      </w:r>
      <w:r w:rsidR="009630F4" w:rsidRPr="009A0043">
        <w:rPr>
          <w:szCs w:val="24"/>
        </w:rPr>
        <w:t>,</w:t>
      </w:r>
      <w:r w:rsidRPr="009A0043">
        <w:rPr>
          <w:szCs w:val="24"/>
        </w:rPr>
        <w:t xml:space="preserve"> claim</w:t>
      </w:r>
      <w:r w:rsidR="00A91C51" w:rsidRPr="009A0043">
        <w:rPr>
          <w:szCs w:val="24"/>
        </w:rPr>
        <w:t>s</w:t>
      </w:r>
      <w:r w:rsidRPr="009A0043">
        <w:rPr>
          <w:szCs w:val="24"/>
        </w:rPr>
        <w:t xml:space="preserve"> that Lime was c</w:t>
      </w:r>
      <w:r w:rsidR="009630F4" w:rsidRPr="009A0043">
        <w:rPr>
          <w:szCs w:val="24"/>
        </w:rPr>
        <w:t>ommissioned to produce a screen</w:t>
      </w:r>
      <w:r w:rsidRPr="009A0043">
        <w:rPr>
          <w:szCs w:val="24"/>
        </w:rPr>
        <w:t xml:space="preserve">play in a work-made-for-hire </w:t>
      </w:r>
      <w:r w:rsidR="009630F4" w:rsidRPr="009A0043">
        <w:rPr>
          <w:szCs w:val="24"/>
        </w:rPr>
        <w:t>contract</w:t>
      </w:r>
      <w:r w:rsidRPr="009A0043">
        <w:rPr>
          <w:szCs w:val="24"/>
        </w:rPr>
        <w:t xml:space="preserve"> under </w:t>
      </w:r>
      <w:r w:rsidR="00FD53E9">
        <w:rPr>
          <w:szCs w:val="24"/>
        </w:rPr>
        <w:t>t</w:t>
      </w:r>
      <w:r w:rsidR="007977F1">
        <w:rPr>
          <w:szCs w:val="24"/>
        </w:rPr>
        <w:t xml:space="preserve">he </w:t>
      </w:r>
      <w:r w:rsidR="00F57B49">
        <w:rPr>
          <w:szCs w:val="24"/>
        </w:rPr>
        <w:t xml:space="preserve">1976 </w:t>
      </w:r>
      <w:r w:rsidR="007977F1">
        <w:rPr>
          <w:szCs w:val="24"/>
        </w:rPr>
        <w:t>Copyright A</w:t>
      </w:r>
      <w:r w:rsidR="009630F4" w:rsidRPr="009A0043">
        <w:rPr>
          <w:szCs w:val="24"/>
        </w:rPr>
        <w:t xml:space="preserve">ct, </w:t>
      </w:r>
      <w:r w:rsidRPr="009A0043">
        <w:rPr>
          <w:szCs w:val="24"/>
        </w:rPr>
        <w:t>17 U.S.C.</w:t>
      </w:r>
      <w:r w:rsidR="007977F1">
        <w:rPr>
          <w:szCs w:val="24"/>
        </w:rPr>
        <w:t xml:space="preserve"> </w:t>
      </w:r>
      <w:r w:rsidR="00F57B49">
        <w:rPr>
          <w:szCs w:val="24"/>
        </w:rPr>
        <w:t xml:space="preserve">§§ 101, et seq. (the “Copyright Act”). </w:t>
      </w:r>
      <w:r w:rsidR="007977F1">
        <w:rPr>
          <w:szCs w:val="24"/>
        </w:rPr>
        <w:t>Plaintiff points to</w:t>
      </w:r>
      <w:r w:rsidR="00A91C51" w:rsidRPr="009A0043">
        <w:rPr>
          <w:szCs w:val="24"/>
        </w:rPr>
        <w:t xml:space="preserve"> an oral agreement preceding production of the work</w:t>
      </w:r>
      <w:r w:rsidR="007977F1">
        <w:rPr>
          <w:szCs w:val="24"/>
        </w:rPr>
        <w:t xml:space="preserve"> and a signed docum</w:t>
      </w:r>
      <w:r w:rsidR="00FD53E9">
        <w:rPr>
          <w:szCs w:val="24"/>
        </w:rPr>
        <w:t>ent succeeding the created work</w:t>
      </w:r>
      <w:r w:rsidRPr="009A0043">
        <w:rPr>
          <w:szCs w:val="24"/>
        </w:rPr>
        <w:t xml:space="preserve">. Plaintiff further alleges that </w:t>
      </w:r>
      <w:proofErr w:type="spellStart"/>
      <w:r w:rsidRPr="009A0043">
        <w:rPr>
          <w:szCs w:val="24"/>
        </w:rPr>
        <w:t>TinyTV</w:t>
      </w:r>
      <w:proofErr w:type="spellEnd"/>
      <w:r w:rsidRPr="009A0043">
        <w:rPr>
          <w:szCs w:val="24"/>
        </w:rPr>
        <w:t xml:space="preserve"> </w:t>
      </w:r>
      <w:r w:rsidR="001755CB" w:rsidRPr="009A0043">
        <w:rPr>
          <w:szCs w:val="24"/>
        </w:rPr>
        <w:t>later televised</w:t>
      </w:r>
      <w:r w:rsidRPr="009A0043">
        <w:rPr>
          <w:szCs w:val="24"/>
        </w:rPr>
        <w:t xml:space="preserve"> </w:t>
      </w:r>
      <w:r w:rsidR="001755CB" w:rsidRPr="009A0043">
        <w:rPr>
          <w:szCs w:val="24"/>
        </w:rPr>
        <w:t>a</w:t>
      </w:r>
      <w:r w:rsidRPr="009A0043">
        <w:rPr>
          <w:szCs w:val="24"/>
        </w:rPr>
        <w:t xml:space="preserve"> </w:t>
      </w:r>
      <w:r w:rsidR="001755CB" w:rsidRPr="009A0043">
        <w:rPr>
          <w:szCs w:val="24"/>
        </w:rPr>
        <w:t>work</w:t>
      </w:r>
      <w:r w:rsidRPr="009A0043">
        <w:rPr>
          <w:szCs w:val="24"/>
        </w:rPr>
        <w:t xml:space="preserve"> </w:t>
      </w:r>
      <w:r w:rsidR="001755CB" w:rsidRPr="009A0043">
        <w:rPr>
          <w:szCs w:val="24"/>
        </w:rPr>
        <w:t>substantially similar to the work made under the contract, infringing on the Plaintiff’s copyright</w:t>
      </w:r>
      <w:r w:rsidRPr="009A0043">
        <w:rPr>
          <w:szCs w:val="24"/>
        </w:rPr>
        <w:t xml:space="preserve">. </w:t>
      </w:r>
    </w:p>
    <w:p w14:paraId="1C240727" w14:textId="77777777" w:rsidR="009630F4" w:rsidRPr="003C52A1" w:rsidRDefault="00D71BB0" w:rsidP="00E2020D">
      <w:pPr>
        <w:pStyle w:val="Footer"/>
        <w:widowControl w:val="0"/>
        <w:tabs>
          <w:tab w:val="clear" w:pos="4320"/>
          <w:tab w:val="clear" w:pos="8640"/>
        </w:tabs>
        <w:snapToGrid w:val="0"/>
        <w:spacing w:line="480" w:lineRule="auto"/>
        <w:ind w:firstLine="720"/>
        <w:rPr>
          <w:szCs w:val="24"/>
        </w:rPr>
      </w:pPr>
      <w:r w:rsidRPr="009A0043">
        <w:rPr>
          <w:szCs w:val="24"/>
        </w:rPr>
        <w:t xml:space="preserve">However, </w:t>
      </w:r>
      <w:r w:rsidR="00F57B49">
        <w:rPr>
          <w:szCs w:val="24"/>
        </w:rPr>
        <w:t>a</w:t>
      </w:r>
      <w:r w:rsidR="00A91C51" w:rsidRPr="009A0043">
        <w:rPr>
          <w:szCs w:val="24"/>
        </w:rPr>
        <w:t>n</w:t>
      </w:r>
      <w:r w:rsidRPr="009A0043">
        <w:rPr>
          <w:szCs w:val="24"/>
        </w:rPr>
        <w:t xml:space="preserve"> oral</w:t>
      </w:r>
      <w:r w:rsidR="00FD53E9" w:rsidRPr="00FD53E9">
        <w:rPr>
          <w:szCs w:val="24"/>
        </w:rPr>
        <w:t xml:space="preserve">, rather than written, </w:t>
      </w:r>
      <w:r w:rsidRPr="009A0043">
        <w:rPr>
          <w:szCs w:val="24"/>
        </w:rPr>
        <w:t>agreement</w:t>
      </w:r>
      <w:r w:rsidR="00FD53E9">
        <w:rPr>
          <w:szCs w:val="24"/>
        </w:rPr>
        <w:t xml:space="preserve"> </w:t>
      </w:r>
      <w:r w:rsidRPr="009A0043">
        <w:rPr>
          <w:szCs w:val="24"/>
        </w:rPr>
        <w:t>is insufficient to create a work-made-for-hire agreement</w:t>
      </w:r>
      <w:r w:rsidR="00A01511" w:rsidRPr="009A0043">
        <w:rPr>
          <w:szCs w:val="24"/>
        </w:rPr>
        <w:t xml:space="preserve"> under </w:t>
      </w:r>
      <w:r w:rsidR="007977F1">
        <w:rPr>
          <w:szCs w:val="24"/>
        </w:rPr>
        <w:t xml:space="preserve">the </w:t>
      </w:r>
      <w:r w:rsidR="00F57B49">
        <w:rPr>
          <w:szCs w:val="24"/>
        </w:rPr>
        <w:t xml:space="preserve">Copyright Act’s </w:t>
      </w:r>
      <w:r w:rsidR="007977F1">
        <w:rPr>
          <w:szCs w:val="24"/>
        </w:rPr>
        <w:t>work-made-for-hire provision</w:t>
      </w:r>
      <w:r w:rsidRPr="009A0043">
        <w:rPr>
          <w:szCs w:val="24"/>
        </w:rPr>
        <w:t xml:space="preserve">. </w:t>
      </w:r>
      <w:r w:rsidR="00A91C51" w:rsidRPr="009A0043">
        <w:rPr>
          <w:szCs w:val="24"/>
        </w:rPr>
        <w:t xml:space="preserve">Furthermore, </w:t>
      </w:r>
      <w:r w:rsidR="009630F4" w:rsidRPr="009A0043">
        <w:rPr>
          <w:szCs w:val="24"/>
        </w:rPr>
        <w:t xml:space="preserve">within both the text and spirit of the Copyright Act, </w:t>
      </w:r>
      <w:r w:rsidRPr="009A0043">
        <w:rPr>
          <w:szCs w:val="24"/>
        </w:rPr>
        <w:t xml:space="preserve">a written agreement </w:t>
      </w:r>
      <w:r w:rsidR="0019093E" w:rsidRPr="009A0043">
        <w:rPr>
          <w:szCs w:val="24"/>
        </w:rPr>
        <w:t>subsequent to the work’s</w:t>
      </w:r>
      <w:r w:rsidR="001755CB" w:rsidRPr="009A0043">
        <w:rPr>
          <w:szCs w:val="24"/>
        </w:rPr>
        <w:t xml:space="preserve"> </w:t>
      </w:r>
      <w:r w:rsidR="0019093E" w:rsidRPr="009A0043">
        <w:rPr>
          <w:szCs w:val="24"/>
        </w:rPr>
        <w:t xml:space="preserve">creation </w:t>
      </w:r>
      <w:r w:rsidR="00FD53E9">
        <w:rPr>
          <w:szCs w:val="24"/>
        </w:rPr>
        <w:t xml:space="preserve">insufficient </w:t>
      </w:r>
      <w:r w:rsidR="001C410F">
        <w:rPr>
          <w:szCs w:val="24"/>
        </w:rPr>
        <w:t xml:space="preserve">to </w:t>
      </w:r>
      <w:r w:rsidR="001C410F" w:rsidRPr="009A0043">
        <w:rPr>
          <w:szCs w:val="24"/>
        </w:rPr>
        <w:t>retroactively</w:t>
      </w:r>
      <w:r w:rsidR="00A91C51" w:rsidRPr="009A0043">
        <w:rPr>
          <w:szCs w:val="24"/>
        </w:rPr>
        <w:t xml:space="preserve"> </w:t>
      </w:r>
      <w:r w:rsidR="00FD53E9">
        <w:rPr>
          <w:szCs w:val="24"/>
        </w:rPr>
        <w:t>assigned</w:t>
      </w:r>
      <w:r w:rsidR="0019093E" w:rsidRPr="009A0043">
        <w:rPr>
          <w:szCs w:val="24"/>
        </w:rPr>
        <w:t xml:space="preserve"> authorship</w:t>
      </w:r>
      <w:r w:rsidR="009630F4" w:rsidRPr="009A0043">
        <w:rPr>
          <w:szCs w:val="24"/>
        </w:rPr>
        <w:t xml:space="preserve">. </w:t>
      </w:r>
      <w:r w:rsidR="00233F53" w:rsidRPr="009A0043">
        <w:rPr>
          <w:szCs w:val="24"/>
        </w:rPr>
        <w:t xml:space="preserve">Therefore, Lime remains the </w:t>
      </w:r>
      <w:r w:rsidR="009630F4" w:rsidRPr="009A0043">
        <w:rPr>
          <w:szCs w:val="24"/>
        </w:rPr>
        <w:t xml:space="preserve">author and </w:t>
      </w:r>
      <w:r w:rsidR="00233F53" w:rsidRPr="009A0043">
        <w:rPr>
          <w:szCs w:val="24"/>
        </w:rPr>
        <w:t>copyright holder</w:t>
      </w:r>
      <w:r w:rsidR="009630F4" w:rsidRPr="009A0043">
        <w:rPr>
          <w:szCs w:val="24"/>
        </w:rPr>
        <w:t xml:space="preserve"> of the disputed work making infringement impossible</w:t>
      </w:r>
      <w:r w:rsidR="002E4E55" w:rsidRPr="009A0043">
        <w:rPr>
          <w:szCs w:val="24"/>
        </w:rPr>
        <w:t xml:space="preserve"> </w:t>
      </w:r>
      <w:r w:rsidR="007E5B4D" w:rsidRPr="009A0043">
        <w:rPr>
          <w:szCs w:val="24"/>
        </w:rPr>
        <w:t>as a matter of law</w:t>
      </w:r>
      <w:r w:rsidR="009630F4" w:rsidRPr="009A0043">
        <w:rPr>
          <w:szCs w:val="24"/>
        </w:rPr>
        <w:t>.</w:t>
      </w:r>
      <w:r w:rsidR="007977F1">
        <w:rPr>
          <w:szCs w:val="24"/>
        </w:rPr>
        <w:t xml:space="preserve"> The Plaintiff makes no cognizable copyright infringement claim because OGS does not own any relative copyright, therefore the Court should </w:t>
      </w:r>
      <w:r w:rsidR="00FD53E9">
        <w:rPr>
          <w:szCs w:val="24"/>
        </w:rPr>
        <w:t xml:space="preserve">grant the Defendants’ motion and </w:t>
      </w:r>
      <w:r w:rsidR="007977F1">
        <w:rPr>
          <w:szCs w:val="24"/>
        </w:rPr>
        <w:t>dismiss the claim.</w:t>
      </w:r>
    </w:p>
    <w:p w14:paraId="2D331466" w14:textId="77777777" w:rsidR="00A91C51" w:rsidRPr="009A0043" w:rsidRDefault="00A91C51" w:rsidP="00E2020D">
      <w:pPr>
        <w:pStyle w:val="Footer"/>
        <w:keepNext/>
        <w:widowControl w:val="0"/>
        <w:tabs>
          <w:tab w:val="clear" w:pos="4320"/>
          <w:tab w:val="clear" w:pos="8640"/>
        </w:tabs>
        <w:snapToGrid w:val="0"/>
        <w:spacing w:line="480" w:lineRule="auto"/>
        <w:ind w:firstLine="720"/>
        <w:jc w:val="center"/>
        <w:rPr>
          <w:b/>
          <w:szCs w:val="24"/>
          <w:u w:val="single"/>
        </w:rPr>
      </w:pPr>
      <w:r w:rsidRPr="009A0043">
        <w:rPr>
          <w:b/>
          <w:szCs w:val="24"/>
          <w:u w:val="single"/>
        </w:rPr>
        <w:lastRenderedPageBreak/>
        <w:t>FACTS</w:t>
      </w:r>
    </w:p>
    <w:p w14:paraId="1BA24D7F" w14:textId="77777777" w:rsidR="00FE6F40" w:rsidRPr="009A0043" w:rsidRDefault="00233F53" w:rsidP="00E2020D">
      <w:pPr>
        <w:pStyle w:val="Footer"/>
        <w:widowControl w:val="0"/>
        <w:tabs>
          <w:tab w:val="clear" w:pos="4320"/>
          <w:tab w:val="clear" w:pos="8640"/>
        </w:tabs>
        <w:snapToGrid w:val="0"/>
        <w:spacing w:line="480" w:lineRule="auto"/>
        <w:ind w:firstLine="720"/>
        <w:rPr>
          <w:szCs w:val="24"/>
        </w:rPr>
      </w:pPr>
      <w:proofErr w:type="gramStart"/>
      <w:r w:rsidRPr="009A0043">
        <w:rPr>
          <w:szCs w:val="24"/>
        </w:rPr>
        <w:t xml:space="preserve">Lime, a well-known screenwriter with </w:t>
      </w:r>
      <w:r w:rsidR="007977F1">
        <w:rPr>
          <w:szCs w:val="24"/>
        </w:rPr>
        <w:t>more</w:t>
      </w:r>
      <w:r w:rsidRPr="009A0043">
        <w:rPr>
          <w:szCs w:val="24"/>
        </w:rPr>
        <w:t xml:space="preserve"> than 15 years </w:t>
      </w:r>
      <w:r w:rsidR="00A170DA" w:rsidRPr="009A0043">
        <w:rPr>
          <w:szCs w:val="24"/>
        </w:rPr>
        <w:t xml:space="preserve">of </w:t>
      </w:r>
      <w:r w:rsidRPr="009A0043">
        <w:rPr>
          <w:szCs w:val="24"/>
        </w:rPr>
        <w:t xml:space="preserve">experience, was approached by </w:t>
      </w:r>
      <w:r w:rsidR="00A170DA" w:rsidRPr="009A0043">
        <w:rPr>
          <w:szCs w:val="24"/>
        </w:rPr>
        <w:t>Dave Nelson (“Nelson”), executive producer of</w:t>
      </w:r>
      <w:r w:rsidR="00790E6E" w:rsidRPr="009A0043">
        <w:rPr>
          <w:szCs w:val="24"/>
        </w:rPr>
        <w:t xml:space="preserve"> OGS’s </w:t>
      </w:r>
      <w:r w:rsidR="00A170DA" w:rsidRPr="009A0043">
        <w:rPr>
          <w:szCs w:val="24"/>
        </w:rPr>
        <w:t xml:space="preserve">television show </w:t>
      </w:r>
      <w:r w:rsidR="00A170DA" w:rsidRPr="009A0043">
        <w:rPr>
          <w:i/>
          <w:szCs w:val="24"/>
        </w:rPr>
        <w:t>Lawless Love</w:t>
      </w:r>
      <w:r w:rsidR="00A170DA" w:rsidRPr="009A0043">
        <w:rPr>
          <w:szCs w:val="24"/>
        </w:rPr>
        <w:t>, to write an episode for the series</w:t>
      </w:r>
      <w:proofErr w:type="gramEnd"/>
      <w:r w:rsidR="00A170DA" w:rsidRPr="009A0043">
        <w:rPr>
          <w:szCs w:val="24"/>
        </w:rPr>
        <w:t xml:space="preserve">. </w:t>
      </w:r>
      <w:proofErr w:type="gramStart"/>
      <w:r w:rsidR="00A170DA" w:rsidRPr="009A0043">
        <w:rPr>
          <w:szCs w:val="24"/>
        </w:rPr>
        <w:t>(</w:t>
      </w:r>
      <w:proofErr w:type="spellStart"/>
      <w:r w:rsidR="00A170DA" w:rsidRPr="009A0043">
        <w:rPr>
          <w:szCs w:val="24"/>
        </w:rPr>
        <w:t>Comp</w:t>
      </w:r>
      <w:r w:rsidR="00790E6E" w:rsidRPr="009A0043">
        <w:rPr>
          <w:szCs w:val="24"/>
        </w:rPr>
        <w:t>l</w:t>
      </w:r>
      <w:proofErr w:type="spellEnd"/>
      <w:r w:rsidR="00A170DA" w:rsidRPr="009A0043">
        <w:rPr>
          <w:szCs w:val="24"/>
        </w:rPr>
        <w:t>. ¶¶ 9-11).</w:t>
      </w:r>
      <w:proofErr w:type="gramEnd"/>
      <w:r w:rsidR="00A170DA" w:rsidRPr="009A0043">
        <w:rPr>
          <w:szCs w:val="24"/>
        </w:rPr>
        <w:t xml:space="preserve"> Lime and Nelson agreed orally that Lime would author an episode for $6,000 </w:t>
      </w:r>
      <w:r w:rsidR="00F15236" w:rsidRPr="009A0043">
        <w:rPr>
          <w:szCs w:val="24"/>
        </w:rPr>
        <w:t xml:space="preserve">by April 1, 2010. </w:t>
      </w:r>
      <w:proofErr w:type="gramStart"/>
      <w:r w:rsidR="00A170DA" w:rsidRPr="009A0043">
        <w:rPr>
          <w:szCs w:val="24"/>
        </w:rPr>
        <w:t>(</w:t>
      </w:r>
      <w:r w:rsidR="007977F1">
        <w:rPr>
          <w:i/>
          <w:szCs w:val="24"/>
        </w:rPr>
        <w:t>Id</w:t>
      </w:r>
      <w:r w:rsidR="00A170DA" w:rsidRPr="009A0043">
        <w:rPr>
          <w:szCs w:val="24"/>
        </w:rPr>
        <w:t xml:space="preserve">. ¶¶ </w:t>
      </w:r>
      <w:r w:rsidR="00790E6E" w:rsidRPr="009A0043">
        <w:rPr>
          <w:szCs w:val="24"/>
        </w:rPr>
        <w:t>13-</w:t>
      </w:r>
      <w:r w:rsidR="00A170DA" w:rsidRPr="009A0043">
        <w:rPr>
          <w:szCs w:val="24"/>
        </w:rPr>
        <w:t>15).</w:t>
      </w:r>
      <w:proofErr w:type="gramEnd"/>
      <w:r w:rsidR="00A170DA" w:rsidRPr="009A0043">
        <w:rPr>
          <w:szCs w:val="24"/>
        </w:rPr>
        <w:t xml:space="preserve"> </w:t>
      </w:r>
      <w:r w:rsidR="00790E6E" w:rsidRPr="009A0043">
        <w:rPr>
          <w:szCs w:val="24"/>
        </w:rPr>
        <w:t xml:space="preserve">Nelson orally told Lime that, “[her] work on the screenplay is for hire. For all intents and purposes, we’ll be the author” and asked, “Do you understand, and is that OK [sic] with you?” Lime </w:t>
      </w:r>
      <w:r w:rsidR="009630F4" w:rsidRPr="009A0043">
        <w:rPr>
          <w:szCs w:val="24"/>
        </w:rPr>
        <w:t>affirmatively answered</w:t>
      </w:r>
      <w:r w:rsidR="009D1848" w:rsidRPr="009A0043">
        <w:rPr>
          <w:szCs w:val="24"/>
        </w:rPr>
        <w:t xml:space="preserve"> that she was hired in order to produce the screenplay</w:t>
      </w:r>
      <w:r w:rsidR="00790E6E" w:rsidRPr="009A0043">
        <w:rPr>
          <w:szCs w:val="24"/>
        </w:rPr>
        <w:t xml:space="preserve">. </w:t>
      </w:r>
      <w:proofErr w:type="gramStart"/>
      <w:r w:rsidR="00790E6E" w:rsidRPr="009A0043">
        <w:rPr>
          <w:szCs w:val="24"/>
        </w:rPr>
        <w:t>(</w:t>
      </w:r>
      <w:r w:rsidR="007977F1" w:rsidRPr="007977F1">
        <w:rPr>
          <w:i/>
          <w:szCs w:val="24"/>
        </w:rPr>
        <w:t>Id</w:t>
      </w:r>
      <w:r w:rsidR="00790E6E" w:rsidRPr="009A0043">
        <w:rPr>
          <w:szCs w:val="24"/>
        </w:rPr>
        <w:t>. ¶¶ 16-17).</w:t>
      </w:r>
      <w:proofErr w:type="gramEnd"/>
      <w:r w:rsidR="00790E6E" w:rsidRPr="009A0043">
        <w:rPr>
          <w:szCs w:val="24"/>
        </w:rPr>
        <w:t xml:space="preserve"> </w:t>
      </w:r>
      <w:r w:rsidR="00F15236" w:rsidRPr="009A0043">
        <w:rPr>
          <w:szCs w:val="24"/>
        </w:rPr>
        <w:t xml:space="preserve">Nelson told Lime that he wished for her to get to work right away and that the contract for commission could be signed later. </w:t>
      </w:r>
    </w:p>
    <w:p w14:paraId="3C83BCB5" w14:textId="77777777" w:rsidR="00F15236" w:rsidRPr="009A0043" w:rsidRDefault="00F15236" w:rsidP="00E2020D">
      <w:pPr>
        <w:pStyle w:val="Footer"/>
        <w:widowControl w:val="0"/>
        <w:tabs>
          <w:tab w:val="clear" w:pos="4320"/>
          <w:tab w:val="clear" w:pos="8640"/>
        </w:tabs>
        <w:snapToGrid w:val="0"/>
        <w:spacing w:line="480" w:lineRule="auto"/>
        <w:rPr>
          <w:szCs w:val="24"/>
        </w:rPr>
      </w:pPr>
      <w:r w:rsidRPr="009A0043">
        <w:rPr>
          <w:szCs w:val="24"/>
        </w:rPr>
        <w:tab/>
        <w:t>Lime completed the screenplay</w:t>
      </w:r>
      <w:r w:rsidR="003F4FF7" w:rsidRPr="009A0043">
        <w:rPr>
          <w:szCs w:val="24"/>
        </w:rPr>
        <w:t>, entitled “Anticipatory Repudiation,”</w:t>
      </w:r>
      <w:r w:rsidRPr="009A0043">
        <w:rPr>
          <w:szCs w:val="24"/>
        </w:rPr>
        <w:t xml:space="preserve"> and submitted it to OGS on April 1, 2010. </w:t>
      </w:r>
      <w:proofErr w:type="gramStart"/>
      <w:r w:rsidRPr="009A0043">
        <w:rPr>
          <w:szCs w:val="24"/>
        </w:rPr>
        <w:t>(</w:t>
      </w:r>
      <w:r w:rsidR="007977F1" w:rsidRPr="007977F1">
        <w:rPr>
          <w:i/>
          <w:szCs w:val="24"/>
        </w:rPr>
        <w:t>Id</w:t>
      </w:r>
      <w:r w:rsidRPr="009A0043">
        <w:rPr>
          <w:szCs w:val="24"/>
        </w:rPr>
        <w:t>. ¶ 21).</w:t>
      </w:r>
      <w:proofErr w:type="gramEnd"/>
      <w:r w:rsidRPr="009A0043">
        <w:rPr>
          <w:szCs w:val="24"/>
        </w:rPr>
        <w:t xml:space="preserve"> The next day, OGS, acting on belief that the screenplay was commissioned pursuant to 17 U.S.C. § 201(b</w:t>
      </w:r>
      <w:proofErr w:type="gramStart"/>
      <w:r w:rsidRPr="009A0043">
        <w:rPr>
          <w:szCs w:val="24"/>
        </w:rPr>
        <w:t>),</w:t>
      </w:r>
      <w:proofErr w:type="gramEnd"/>
      <w:r w:rsidRPr="009A0043">
        <w:rPr>
          <w:szCs w:val="24"/>
        </w:rPr>
        <w:t xml:space="preserve"> registered the work with the Register of Copyrights. </w:t>
      </w:r>
      <w:proofErr w:type="gramStart"/>
      <w:r w:rsidRPr="009A0043">
        <w:rPr>
          <w:szCs w:val="24"/>
        </w:rPr>
        <w:t>(</w:t>
      </w:r>
      <w:r w:rsidR="007977F1" w:rsidRPr="007977F1">
        <w:rPr>
          <w:i/>
          <w:szCs w:val="24"/>
        </w:rPr>
        <w:t>Id</w:t>
      </w:r>
      <w:r w:rsidRPr="009A0043">
        <w:rPr>
          <w:szCs w:val="24"/>
        </w:rPr>
        <w:t>. ¶ 22).</w:t>
      </w:r>
      <w:proofErr w:type="gramEnd"/>
      <w:r w:rsidRPr="009A0043">
        <w:rPr>
          <w:szCs w:val="24"/>
        </w:rPr>
        <w:t xml:space="preserve"> </w:t>
      </w:r>
    </w:p>
    <w:p w14:paraId="24EB2EBE" w14:textId="77777777" w:rsidR="00790E6E" w:rsidRPr="009A0043" w:rsidRDefault="00F15236" w:rsidP="001C410F">
      <w:pPr>
        <w:pStyle w:val="Footer"/>
        <w:widowControl w:val="0"/>
        <w:tabs>
          <w:tab w:val="clear" w:pos="4320"/>
          <w:tab w:val="clear" w:pos="8640"/>
        </w:tabs>
        <w:snapToGrid w:val="0"/>
        <w:spacing w:line="480" w:lineRule="auto"/>
        <w:rPr>
          <w:szCs w:val="24"/>
        </w:rPr>
      </w:pPr>
      <w:r w:rsidRPr="009A0043">
        <w:rPr>
          <w:szCs w:val="24"/>
        </w:rPr>
        <w:tab/>
        <w:t xml:space="preserve">On April 6th, Lime came to Nelson’s office in order to receive her compensation for authoring the </w:t>
      </w:r>
      <w:r w:rsidR="00837FF8" w:rsidRPr="009A0043">
        <w:rPr>
          <w:szCs w:val="24"/>
        </w:rPr>
        <w:t>screenplay</w:t>
      </w:r>
      <w:r w:rsidR="00AA0C95" w:rsidRPr="009A0043">
        <w:rPr>
          <w:szCs w:val="24"/>
        </w:rPr>
        <w:t>.</w:t>
      </w:r>
      <w:r w:rsidR="00837FF8" w:rsidRPr="009A0043">
        <w:rPr>
          <w:szCs w:val="24"/>
        </w:rPr>
        <w:t xml:space="preserve"> </w:t>
      </w:r>
      <w:proofErr w:type="gramStart"/>
      <w:r w:rsidR="00837FF8" w:rsidRPr="009A0043">
        <w:rPr>
          <w:szCs w:val="24"/>
        </w:rPr>
        <w:t>(</w:t>
      </w:r>
      <w:r w:rsidR="007977F1" w:rsidRPr="007977F1">
        <w:rPr>
          <w:i/>
          <w:szCs w:val="24"/>
        </w:rPr>
        <w:t>Id</w:t>
      </w:r>
      <w:r w:rsidR="00837FF8" w:rsidRPr="009A0043">
        <w:rPr>
          <w:szCs w:val="24"/>
        </w:rPr>
        <w:t xml:space="preserve">. ¶ </w:t>
      </w:r>
      <w:r w:rsidR="003F4FF7" w:rsidRPr="009A0043">
        <w:rPr>
          <w:szCs w:val="24"/>
        </w:rPr>
        <w:t>24).</w:t>
      </w:r>
      <w:proofErr w:type="gramEnd"/>
      <w:r w:rsidR="003F4FF7" w:rsidRPr="009A0043">
        <w:rPr>
          <w:szCs w:val="24"/>
        </w:rPr>
        <w:t xml:space="preserve"> </w:t>
      </w:r>
      <w:r w:rsidR="00AA0C95" w:rsidRPr="009A0043">
        <w:rPr>
          <w:szCs w:val="24"/>
        </w:rPr>
        <w:t xml:space="preserve">Sometime during this encounter, </w:t>
      </w:r>
      <w:r w:rsidR="003F4FF7" w:rsidRPr="009A0043">
        <w:rPr>
          <w:szCs w:val="24"/>
        </w:rPr>
        <w:t>Nelson presented Lime with a written document stating: “I understand and agree that I have prepared the screenplay, ‘Anticipatory Repudiation,’ as a work made for hire under federal Copyright</w:t>
      </w:r>
      <w:r w:rsidR="00F57B49">
        <w:rPr>
          <w:szCs w:val="24"/>
        </w:rPr>
        <w:t xml:space="preserve"> Act</w:t>
      </w:r>
      <w:r w:rsidR="003F4FF7" w:rsidRPr="009A0043">
        <w:rPr>
          <w:szCs w:val="24"/>
        </w:rPr>
        <w:t xml:space="preserve">. Pursuant to this law, OGS TV is the author of this screen play.” </w:t>
      </w:r>
      <w:r w:rsidR="003F4FF7" w:rsidRPr="009A0043">
        <w:rPr>
          <w:i/>
          <w:szCs w:val="24"/>
        </w:rPr>
        <w:t>Id</w:t>
      </w:r>
      <w:r w:rsidR="001C410F">
        <w:rPr>
          <w:szCs w:val="24"/>
        </w:rPr>
        <w:t xml:space="preserve">. </w:t>
      </w:r>
      <w:proofErr w:type="gramStart"/>
      <w:r w:rsidR="003F4FF7" w:rsidRPr="009A0043">
        <w:rPr>
          <w:szCs w:val="24"/>
        </w:rPr>
        <w:t>The document, labeled as “Work-Made-For-Hire Agreement,” was signed by both Nelson and Lime</w:t>
      </w:r>
      <w:proofErr w:type="gramEnd"/>
      <w:r w:rsidR="003F4FF7" w:rsidRPr="009A0043">
        <w:rPr>
          <w:szCs w:val="24"/>
        </w:rPr>
        <w:t xml:space="preserve">. </w:t>
      </w:r>
      <w:r w:rsidR="003F4FF7" w:rsidRPr="009A0043">
        <w:rPr>
          <w:i/>
          <w:szCs w:val="24"/>
        </w:rPr>
        <w:t>Id.</w:t>
      </w:r>
    </w:p>
    <w:p w14:paraId="6D6CF155" w14:textId="77777777" w:rsidR="003C52A1" w:rsidRPr="009A0043" w:rsidRDefault="00AA0C95" w:rsidP="001C410F">
      <w:pPr>
        <w:pStyle w:val="Footer"/>
        <w:widowControl w:val="0"/>
        <w:tabs>
          <w:tab w:val="clear" w:pos="4320"/>
          <w:tab w:val="clear" w:pos="8640"/>
        </w:tabs>
        <w:snapToGrid w:val="0"/>
        <w:spacing w:line="480" w:lineRule="auto"/>
        <w:ind w:firstLine="720"/>
        <w:rPr>
          <w:szCs w:val="24"/>
        </w:rPr>
      </w:pPr>
      <w:r w:rsidRPr="009A0043">
        <w:rPr>
          <w:szCs w:val="24"/>
        </w:rPr>
        <w:t>On June 1, 2010, e</w:t>
      </w:r>
      <w:r w:rsidR="00185294" w:rsidRPr="009A0043">
        <w:rPr>
          <w:szCs w:val="24"/>
        </w:rPr>
        <w:t xml:space="preserve">xecutives of </w:t>
      </w:r>
      <w:r w:rsidR="00185294" w:rsidRPr="009A0043">
        <w:rPr>
          <w:i/>
          <w:szCs w:val="24"/>
        </w:rPr>
        <w:t>Lawless Love</w:t>
      </w:r>
      <w:r w:rsidR="00185294" w:rsidRPr="009A0043">
        <w:rPr>
          <w:szCs w:val="24"/>
        </w:rPr>
        <w:t xml:space="preserve"> decided that “Anticipatory Repudiation” was</w:t>
      </w:r>
      <w:r w:rsidRPr="009A0043">
        <w:rPr>
          <w:szCs w:val="24"/>
        </w:rPr>
        <w:t xml:space="preserve"> not suitable for production in</w:t>
      </w:r>
      <w:r w:rsidR="00185294" w:rsidRPr="009A0043">
        <w:rPr>
          <w:szCs w:val="24"/>
        </w:rPr>
        <w:t xml:space="preserve"> the series. </w:t>
      </w:r>
      <w:proofErr w:type="gramStart"/>
      <w:r w:rsidR="00185294" w:rsidRPr="009A0043">
        <w:rPr>
          <w:szCs w:val="24"/>
        </w:rPr>
        <w:t>(</w:t>
      </w:r>
      <w:r w:rsidR="007977F1" w:rsidRPr="007977F1">
        <w:rPr>
          <w:i/>
          <w:szCs w:val="24"/>
        </w:rPr>
        <w:t>Id</w:t>
      </w:r>
      <w:r w:rsidR="00185294" w:rsidRPr="009A0043">
        <w:rPr>
          <w:szCs w:val="24"/>
        </w:rPr>
        <w:t>. ¶ 26).</w:t>
      </w:r>
      <w:proofErr w:type="gramEnd"/>
      <w:r w:rsidR="00185294" w:rsidRPr="009A0043">
        <w:rPr>
          <w:szCs w:val="24"/>
        </w:rPr>
        <w:t xml:space="preserve"> </w:t>
      </w:r>
      <w:r w:rsidR="00D357A8" w:rsidRPr="009A0043">
        <w:rPr>
          <w:szCs w:val="24"/>
        </w:rPr>
        <w:t xml:space="preserve">In August 2010, Lime </w:t>
      </w:r>
      <w:r w:rsidR="00185294" w:rsidRPr="009A0043">
        <w:rPr>
          <w:szCs w:val="24"/>
        </w:rPr>
        <w:t xml:space="preserve">began working with </w:t>
      </w:r>
      <w:proofErr w:type="spellStart"/>
      <w:r w:rsidR="00185294" w:rsidRPr="009A0043">
        <w:rPr>
          <w:szCs w:val="24"/>
        </w:rPr>
        <w:t>TinyTV</w:t>
      </w:r>
      <w:proofErr w:type="spellEnd"/>
      <w:r w:rsidR="00185294" w:rsidRPr="009A0043">
        <w:rPr>
          <w:szCs w:val="24"/>
        </w:rPr>
        <w:t xml:space="preserve"> to produce a pilot episode of </w:t>
      </w:r>
      <w:r w:rsidR="00185294" w:rsidRPr="009A0043">
        <w:rPr>
          <w:i/>
          <w:szCs w:val="24"/>
        </w:rPr>
        <w:t xml:space="preserve">The Tin Can </w:t>
      </w:r>
      <w:r w:rsidRPr="009A0043">
        <w:rPr>
          <w:szCs w:val="24"/>
        </w:rPr>
        <w:t>entitled “The Love Below.”</w:t>
      </w:r>
      <w:r w:rsidR="00185294" w:rsidRPr="009A0043">
        <w:rPr>
          <w:szCs w:val="24"/>
        </w:rPr>
        <w:t xml:space="preserve"> Plaintiffs </w:t>
      </w:r>
      <w:r w:rsidR="00185294" w:rsidRPr="009A0043">
        <w:rPr>
          <w:szCs w:val="24"/>
        </w:rPr>
        <w:lastRenderedPageBreak/>
        <w:t xml:space="preserve">allege that the screenplay for the </w:t>
      </w:r>
      <w:r w:rsidR="0019093E" w:rsidRPr="009A0043">
        <w:rPr>
          <w:szCs w:val="24"/>
        </w:rPr>
        <w:t>pi</w:t>
      </w:r>
      <w:r w:rsidR="00185294" w:rsidRPr="009A0043">
        <w:rPr>
          <w:szCs w:val="24"/>
        </w:rPr>
        <w:t xml:space="preserve">lot episode borrowed substantially from the dialogue, themes, characters, and storylines of “Anticipatory Repudiation,” with only the names and occupations of the characters differing. </w:t>
      </w:r>
      <w:proofErr w:type="gramStart"/>
      <w:r w:rsidR="00185294" w:rsidRPr="009A0043">
        <w:rPr>
          <w:szCs w:val="24"/>
        </w:rPr>
        <w:t>(</w:t>
      </w:r>
      <w:r w:rsidR="007977F1" w:rsidRPr="007977F1">
        <w:rPr>
          <w:i/>
          <w:szCs w:val="24"/>
        </w:rPr>
        <w:t>Id</w:t>
      </w:r>
      <w:r w:rsidR="00185294" w:rsidRPr="009A0043">
        <w:rPr>
          <w:szCs w:val="24"/>
        </w:rPr>
        <w:t xml:space="preserve">. ¶ </w:t>
      </w:r>
      <w:r w:rsidR="0019093E" w:rsidRPr="009A0043">
        <w:rPr>
          <w:szCs w:val="24"/>
        </w:rPr>
        <w:t>31).</w:t>
      </w:r>
      <w:proofErr w:type="gramEnd"/>
      <w:r w:rsidR="0019093E" w:rsidRPr="009A0043">
        <w:rPr>
          <w:szCs w:val="24"/>
        </w:rPr>
        <w:t xml:space="preserve"> On September 7, 2010, </w:t>
      </w:r>
      <w:proofErr w:type="spellStart"/>
      <w:r w:rsidR="0019093E" w:rsidRPr="009A0043">
        <w:rPr>
          <w:szCs w:val="24"/>
        </w:rPr>
        <w:t>TinyTV</w:t>
      </w:r>
      <w:proofErr w:type="spellEnd"/>
      <w:r w:rsidR="0019093E" w:rsidRPr="009A0043">
        <w:rPr>
          <w:szCs w:val="24"/>
        </w:rPr>
        <w:t xml:space="preserve"> aired the episode for public, national broadcast. </w:t>
      </w:r>
      <w:proofErr w:type="gramStart"/>
      <w:r w:rsidR="0019093E" w:rsidRPr="009A0043">
        <w:rPr>
          <w:szCs w:val="24"/>
        </w:rPr>
        <w:t>(</w:t>
      </w:r>
      <w:r w:rsidR="007977F1" w:rsidRPr="007977F1">
        <w:rPr>
          <w:i/>
          <w:szCs w:val="24"/>
        </w:rPr>
        <w:t>Id</w:t>
      </w:r>
      <w:r w:rsidR="0019093E" w:rsidRPr="009A0043">
        <w:rPr>
          <w:szCs w:val="24"/>
        </w:rPr>
        <w:t>. ¶ 29).</w:t>
      </w:r>
      <w:proofErr w:type="gramEnd"/>
      <w:r w:rsidR="0019093E" w:rsidRPr="009A0043">
        <w:rPr>
          <w:szCs w:val="24"/>
        </w:rPr>
        <w:t xml:space="preserve"> OGS notified defendants </w:t>
      </w:r>
      <w:r w:rsidR="005F716C" w:rsidRPr="009A0043">
        <w:rPr>
          <w:szCs w:val="24"/>
        </w:rPr>
        <w:t>o</w:t>
      </w:r>
      <w:r w:rsidR="0019093E" w:rsidRPr="009A0043">
        <w:rPr>
          <w:szCs w:val="24"/>
        </w:rPr>
        <w:t>n September 15, 2010 that it believed that the broadcast of “The Love Below” infringed on their copyright (</w:t>
      </w:r>
      <w:r w:rsidR="007977F1" w:rsidRPr="007977F1">
        <w:rPr>
          <w:i/>
          <w:szCs w:val="24"/>
        </w:rPr>
        <w:t>Id</w:t>
      </w:r>
      <w:r w:rsidR="0019093E" w:rsidRPr="009A0043">
        <w:rPr>
          <w:szCs w:val="24"/>
        </w:rPr>
        <w:t xml:space="preserve">. ¶ 33). This action followed with Plaintiff alleging $86,000 in lost advertising revenue and lost value or Lime’s fee for the screenplay. </w:t>
      </w:r>
      <w:proofErr w:type="gramStart"/>
      <w:r w:rsidR="0019093E" w:rsidRPr="009A0043">
        <w:rPr>
          <w:szCs w:val="24"/>
        </w:rPr>
        <w:t>(</w:t>
      </w:r>
      <w:r w:rsidR="007977F1" w:rsidRPr="007977F1">
        <w:rPr>
          <w:i/>
          <w:szCs w:val="24"/>
        </w:rPr>
        <w:t>Id</w:t>
      </w:r>
      <w:r w:rsidR="0019093E" w:rsidRPr="009A0043">
        <w:rPr>
          <w:szCs w:val="24"/>
        </w:rPr>
        <w:t>. ¶ 30).</w:t>
      </w:r>
      <w:proofErr w:type="gramEnd"/>
      <w:r w:rsidR="0019093E" w:rsidRPr="009A0043">
        <w:rPr>
          <w:szCs w:val="24"/>
        </w:rPr>
        <w:t xml:space="preserve"> </w:t>
      </w:r>
    </w:p>
    <w:p w14:paraId="07734092" w14:textId="77777777" w:rsidR="003448D2" w:rsidRPr="003448D2" w:rsidRDefault="003448D2" w:rsidP="00E2020D">
      <w:pPr>
        <w:pStyle w:val="Heading1"/>
        <w:spacing w:line="480" w:lineRule="auto"/>
        <w:rPr>
          <w:u w:val="none"/>
        </w:rPr>
      </w:pPr>
      <w:r w:rsidRPr="003448D2">
        <w:t>ARGUMENT</w:t>
      </w:r>
    </w:p>
    <w:p w14:paraId="6B80C9B9" w14:textId="77777777" w:rsidR="003448D2" w:rsidRPr="003448D2" w:rsidRDefault="003448D2" w:rsidP="00DE340F">
      <w:pPr>
        <w:widowControl/>
        <w:snapToGrid/>
        <w:spacing w:line="480" w:lineRule="auto"/>
        <w:ind w:firstLine="720"/>
        <w:rPr>
          <w:szCs w:val="24"/>
        </w:rPr>
      </w:pPr>
      <w:r>
        <w:rPr>
          <w:szCs w:val="24"/>
        </w:rPr>
        <w:t>This case turns on whether the work-made-for-hire provision of the Copyright Act requires an explicit written instrument evidencing and initializing a work-made-for-hire prior to the work</w:t>
      </w:r>
      <w:r w:rsidR="00F57B49">
        <w:rPr>
          <w:szCs w:val="24"/>
        </w:rPr>
        <w:t>’</w:t>
      </w:r>
      <w:r>
        <w:rPr>
          <w:szCs w:val="24"/>
        </w:rPr>
        <w:t xml:space="preserve">s creation. The Defendants contend that </w:t>
      </w:r>
      <w:r w:rsidR="00EF4B55">
        <w:rPr>
          <w:szCs w:val="24"/>
        </w:rPr>
        <w:t>while</w:t>
      </w:r>
      <w:r>
        <w:rPr>
          <w:szCs w:val="24"/>
        </w:rPr>
        <w:t xml:space="preserve"> the plain meaning of the statute </w:t>
      </w:r>
      <w:r w:rsidR="00EF4B55">
        <w:rPr>
          <w:szCs w:val="24"/>
        </w:rPr>
        <w:t xml:space="preserve">is ambiguous, </w:t>
      </w:r>
      <w:r>
        <w:rPr>
          <w:szCs w:val="24"/>
        </w:rPr>
        <w:t>viewing the work-made-for-hire provision in light of parallel provisions require</w:t>
      </w:r>
      <w:r w:rsidR="00F57B49">
        <w:rPr>
          <w:szCs w:val="24"/>
        </w:rPr>
        <w:t>s</w:t>
      </w:r>
      <w:r>
        <w:rPr>
          <w:szCs w:val="24"/>
        </w:rPr>
        <w:t xml:space="preserve"> the interpretation that the written instrument be </w:t>
      </w:r>
      <w:r w:rsidR="00F57B49">
        <w:rPr>
          <w:szCs w:val="24"/>
        </w:rPr>
        <w:t>signed</w:t>
      </w:r>
      <w:r>
        <w:rPr>
          <w:szCs w:val="24"/>
        </w:rPr>
        <w:t xml:space="preserve"> </w:t>
      </w:r>
      <w:r>
        <w:rPr>
          <w:i/>
          <w:szCs w:val="24"/>
        </w:rPr>
        <w:t>prior</w:t>
      </w:r>
      <w:r>
        <w:rPr>
          <w:szCs w:val="24"/>
        </w:rPr>
        <w:t xml:space="preserve"> to the creation of the work. Furthermore, the Copyright Act’s purpose of predictability is </w:t>
      </w:r>
      <w:r w:rsidR="00FD53E9">
        <w:rPr>
          <w:szCs w:val="24"/>
        </w:rPr>
        <w:t xml:space="preserve">only truly </w:t>
      </w:r>
      <w:r w:rsidR="007977F1">
        <w:rPr>
          <w:szCs w:val="24"/>
        </w:rPr>
        <w:t>served</w:t>
      </w:r>
      <w:r>
        <w:rPr>
          <w:szCs w:val="24"/>
        </w:rPr>
        <w:t xml:space="preserve"> when the </w:t>
      </w:r>
      <w:r w:rsidR="00EF4B55">
        <w:rPr>
          <w:szCs w:val="24"/>
        </w:rPr>
        <w:t>agreement</w:t>
      </w:r>
      <w:r>
        <w:rPr>
          <w:szCs w:val="24"/>
        </w:rPr>
        <w:t xml:space="preserve"> pre-dates the creation of the work</w:t>
      </w:r>
      <w:r w:rsidR="00EF4B55">
        <w:rPr>
          <w:szCs w:val="24"/>
        </w:rPr>
        <w:t xml:space="preserve"> and is initialized in writing rather than orally</w:t>
      </w:r>
      <w:r>
        <w:rPr>
          <w:szCs w:val="24"/>
        </w:rPr>
        <w:t>.</w:t>
      </w:r>
      <w:r w:rsidR="00DF5128" w:rsidRPr="00DF5128">
        <w:rPr>
          <w:szCs w:val="24"/>
        </w:rPr>
        <w:t xml:space="preserve"> </w:t>
      </w:r>
      <w:r w:rsidR="00DF5128">
        <w:rPr>
          <w:szCs w:val="24"/>
        </w:rPr>
        <w:t>Moreover, the only way t</w:t>
      </w:r>
      <w:r w:rsidR="00FD53E9">
        <w:rPr>
          <w:szCs w:val="24"/>
        </w:rPr>
        <w:t>o properly place work-made-for-</w:t>
      </w:r>
      <w:r w:rsidR="001C410F">
        <w:rPr>
          <w:szCs w:val="24"/>
        </w:rPr>
        <w:t>hire on a strong theoretical framework is to require there to exist a written agreement to initialize the relationship</w:t>
      </w:r>
      <w:r w:rsidR="00DF5128">
        <w:rPr>
          <w:szCs w:val="24"/>
        </w:rPr>
        <w:t>.</w:t>
      </w:r>
      <w:r w:rsidR="007977F1">
        <w:rPr>
          <w:szCs w:val="24"/>
        </w:rPr>
        <w:t xml:space="preserve"> </w:t>
      </w:r>
      <w:r>
        <w:rPr>
          <w:szCs w:val="24"/>
        </w:rPr>
        <w:t xml:space="preserve">Finally, legislative history </w:t>
      </w:r>
      <w:r w:rsidR="00A84F96">
        <w:rPr>
          <w:szCs w:val="24"/>
        </w:rPr>
        <w:t>shows</w:t>
      </w:r>
      <w:r>
        <w:rPr>
          <w:szCs w:val="24"/>
        </w:rPr>
        <w:t xml:space="preserve"> that </w:t>
      </w:r>
      <w:r w:rsidR="00A84F96">
        <w:rPr>
          <w:szCs w:val="24"/>
        </w:rPr>
        <w:t xml:space="preserve">it was both Congress’s intention and belief that no work-made-for-hire agreement exists until written instrument </w:t>
      </w:r>
      <w:r w:rsidR="009216B0">
        <w:rPr>
          <w:szCs w:val="24"/>
        </w:rPr>
        <w:t xml:space="preserve">initializing </w:t>
      </w:r>
      <w:r w:rsidR="00A84F96">
        <w:rPr>
          <w:szCs w:val="24"/>
        </w:rPr>
        <w:t>the agreement is signed by both parties. Because the Copyright Act requires a prior written agreement for a work-made-for-hire arrangement, the Plaintiff has failed to show that the Defendants have vi</w:t>
      </w:r>
      <w:r w:rsidR="00DF5128">
        <w:rPr>
          <w:szCs w:val="24"/>
        </w:rPr>
        <w:t>olat</w:t>
      </w:r>
      <w:r w:rsidR="001C410F">
        <w:rPr>
          <w:szCs w:val="24"/>
        </w:rPr>
        <w:t xml:space="preserve">ed any cognizable copyright and, accordingly, the Defendants’ Motion </w:t>
      </w:r>
      <w:r w:rsidR="001D4AE4">
        <w:rPr>
          <w:szCs w:val="24"/>
        </w:rPr>
        <w:t>to Dismiss</w:t>
      </w:r>
      <w:r w:rsidR="001C410F">
        <w:rPr>
          <w:szCs w:val="24"/>
        </w:rPr>
        <w:t xml:space="preserve"> should be granted and the </w:t>
      </w:r>
      <w:r w:rsidR="001D4AE4">
        <w:rPr>
          <w:szCs w:val="24"/>
        </w:rPr>
        <w:t xml:space="preserve">claim </w:t>
      </w:r>
      <w:r w:rsidR="00DF5128">
        <w:rPr>
          <w:szCs w:val="24"/>
        </w:rPr>
        <w:t>dismissed.</w:t>
      </w:r>
      <w:r w:rsidR="00A84F96">
        <w:rPr>
          <w:szCs w:val="24"/>
        </w:rPr>
        <w:t xml:space="preserve"> </w:t>
      </w:r>
    </w:p>
    <w:p w14:paraId="46C7B03F" w14:textId="77777777" w:rsidR="003448D2" w:rsidRPr="003448D2" w:rsidRDefault="003448D2" w:rsidP="00DE340F">
      <w:pPr>
        <w:pStyle w:val="Heading2"/>
      </w:pPr>
      <w:r w:rsidRPr="003448D2">
        <w:lastRenderedPageBreak/>
        <w:t xml:space="preserve">I. </w:t>
      </w:r>
      <w:r w:rsidRPr="003448D2">
        <w:tab/>
        <w:t xml:space="preserve">STANDARD OF REVIEW </w:t>
      </w:r>
    </w:p>
    <w:p w14:paraId="75C14C68" w14:textId="77777777" w:rsidR="003448D2" w:rsidRPr="003448D2" w:rsidRDefault="00A84F96" w:rsidP="00E2020D">
      <w:pPr>
        <w:widowControl/>
        <w:snapToGrid/>
        <w:spacing w:line="480" w:lineRule="auto"/>
        <w:rPr>
          <w:szCs w:val="24"/>
        </w:rPr>
      </w:pPr>
      <w:r>
        <w:rPr>
          <w:szCs w:val="24"/>
        </w:rPr>
        <w:tab/>
        <w:t xml:space="preserve">If the Court finds that the Plaintiff has failed to “state a claim upon which relief can be granted,” the Court must dismiss the claim before it.  </w:t>
      </w:r>
      <w:r w:rsidR="000313D0">
        <w:rPr>
          <w:szCs w:val="24"/>
        </w:rPr>
        <w:t xml:space="preserve">Fed. R. Civ. P. 12(b)(6). </w:t>
      </w:r>
      <w:r w:rsidR="009216B0">
        <w:rPr>
          <w:szCs w:val="24"/>
        </w:rPr>
        <w:t>In order to prevail on a 12(b)(6) motion, the Plaintiff</w:t>
      </w:r>
      <w:r w:rsidR="00B92B29">
        <w:rPr>
          <w:szCs w:val="24"/>
        </w:rPr>
        <w:t>’s</w:t>
      </w:r>
      <w:r w:rsidR="009216B0">
        <w:rPr>
          <w:szCs w:val="24"/>
        </w:rPr>
        <w:t xml:space="preserve"> </w:t>
      </w:r>
      <w:r w:rsidR="00DF5128">
        <w:rPr>
          <w:szCs w:val="24"/>
        </w:rPr>
        <w:t>“f</w:t>
      </w:r>
      <w:r w:rsidR="00B92B29">
        <w:rPr>
          <w:szCs w:val="24"/>
        </w:rPr>
        <w:t>actual allegations must be enough to raise a right to relief above the speculative leve</w:t>
      </w:r>
      <w:r w:rsidR="00FB2E58">
        <w:rPr>
          <w:szCs w:val="24"/>
        </w:rPr>
        <w:t>l</w:t>
      </w:r>
      <w:r w:rsidR="00B92B29">
        <w:rPr>
          <w:szCs w:val="24"/>
        </w:rPr>
        <w:t xml:space="preserve"> on the assumption that all of complaint’s allegations are true</w:t>
      </w:r>
      <w:r w:rsidR="00FB2E58">
        <w:rPr>
          <w:szCs w:val="24"/>
        </w:rPr>
        <w:t xml:space="preserve"> (even if doubtful in fact)</w:t>
      </w:r>
      <w:r w:rsidR="00B92B29">
        <w:rPr>
          <w:szCs w:val="24"/>
        </w:rPr>
        <w:t>.”</w:t>
      </w:r>
      <w:r w:rsidR="00B92B29" w:rsidRPr="00B92B29">
        <w:rPr>
          <w:szCs w:val="24"/>
        </w:rPr>
        <w:t xml:space="preserve"> </w:t>
      </w:r>
      <w:r w:rsidR="00B92B29" w:rsidRPr="00B92B29">
        <w:rPr>
          <w:i/>
          <w:szCs w:val="24"/>
        </w:rPr>
        <w:t xml:space="preserve">Bell Atl. Corp. v. </w:t>
      </w:r>
      <w:proofErr w:type="spellStart"/>
      <w:r w:rsidR="00B92B29" w:rsidRPr="00B92B29">
        <w:rPr>
          <w:i/>
          <w:szCs w:val="24"/>
        </w:rPr>
        <w:t>Twombly</w:t>
      </w:r>
      <w:proofErr w:type="spellEnd"/>
      <w:r w:rsidR="00F57B49">
        <w:rPr>
          <w:szCs w:val="24"/>
        </w:rPr>
        <w:t>, 550 U.S. 544</w:t>
      </w:r>
      <w:r w:rsidR="00FB2E58">
        <w:rPr>
          <w:szCs w:val="24"/>
        </w:rPr>
        <w:t>, 555</w:t>
      </w:r>
      <w:r w:rsidR="00F57B49">
        <w:rPr>
          <w:szCs w:val="24"/>
        </w:rPr>
        <w:t xml:space="preserve"> (</w:t>
      </w:r>
      <w:r w:rsidR="00B92B29" w:rsidRPr="00B92B29">
        <w:rPr>
          <w:szCs w:val="24"/>
        </w:rPr>
        <w:t>2007)</w:t>
      </w:r>
      <w:r w:rsidR="00FB2E58">
        <w:rPr>
          <w:szCs w:val="24"/>
        </w:rPr>
        <w:t xml:space="preserve"> (citation omitted)</w:t>
      </w:r>
      <w:r w:rsidR="00B92B29" w:rsidRPr="00B92B29">
        <w:rPr>
          <w:szCs w:val="24"/>
        </w:rPr>
        <w:t>.</w:t>
      </w:r>
      <w:r w:rsidR="00B92B29">
        <w:rPr>
          <w:szCs w:val="24"/>
        </w:rPr>
        <w:t xml:space="preserve"> Thus, if the C</w:t>
      </w:r>
      <w:r w:rsidR="00DF5128">
        <w:rPr>
          <w:szCs w:val="24"/>
        </w:rPr>
        <w:t>ourt rules that,</w:t>
      </w:r>
      <w:r w:rsidR="006F5B52">
        <w:rPr>
          <w:szCs w:val="24"/>
        </w:rPr>
        <w:t xml:space="preserve"> taking all of P</w:t>
      </w:r>
      <w:r w:rsidR="00B92B29">
        <w:rPr>
          <w:szCs w:val="24"/>
        </w:rPr>
        <w:t>laintiff’s factual claims to be true</w:t>
      </w:r>
      <w:r w:rsidR="00DF5128">
        <w:rPr>
          <w:szCs w:val="24"/>
        </w:rPr>
        <w:t>,</w:t>
      </w:r>
      <w:r w:rsidR="00B92B29">
        <w:rPr>
          <w:szCs w:val="24"/>
        </w:rPr>
        <w:t xml:space="preserve"> </w:t>
      </w:r>
      <w:r w:rsidR="00DF5128">
        <w:rPr>
          <w:szCs w:val="24"/>
        </w:rPr>
        <w:t>the allegations</w:t>
      </w:r>
      <w:r w:rsidR="00B92B29">
        <w:rPr>
          <w:szCs w:val="24"/>
        </w:rPr>
        <w:t xml:space="preserve"> still do not rise to the level re</w:t>
      </w:r>
      <w:r w:rsidR="00F57B49">
        <w:rPr>
          <w:szCs w:val="24"/>
        </w:rPr>
        <w:t>quired by law, the Defendant’s Motion to D</w:t>
      </w:r>
      <w:r w:rsidR="00B92B29">
        <w:rPr>
          <w:szCs w:val="24"/>
        </w:rPr>
        <w:t xml:space="preserve">ismiss under Fed. R. Civ. P. 12(b)(6) should be granted. </w:t>
      </w:r>
      <w:r w:rsidR="001C410F">
        <w:rPr>
          <w:szCs w:val="24"/>
        </w:rPr>
        <w:t xml:space="preserve">Because the Plaintiff has no cognizable copyright claim even if taking all of the </w:t>
      </w:r>
      <w:r w:rsidR="001D4AE4">
        <w:rPr>
          <w:szCs w:val="24"/>
        </w:rPr>
        <w:t>factual allegations as true, the Court must grant the Motion to Dismiss.</w:t>
      </w:r>
    </w:p>
    <w:p w14:paraId="139D24B9" w14:textId="77777777" w:rsidR="003448D2" w:rsidRPr="003448D2" w:rsidRDefault="003448D2" w:rsidP="00E2020D">
      <w:pPr>
        <w:widowControl/>
        <w:snapToGrid/>
        <w:ind w:left="720"/>
        <w:rPr>
          <w:szCs w:val="24"/>
        </w:rPr>
      </w:pPr>
    </w:p>
    <w:p w14:paraId="0E969943" w14:textId="77777777" w:rsidR="00EF4B55" w:rsidRDefault="003448D2" w:rsidP="00F57B49">
      <w:pPr>
        <w:pStyle w:val="BodyTextIndent"/>
        <w:spacing w:line="240" w:lineRule="auto"/>
        <w:ind w:hanging="720"/>
      </w:pPr>
      <w:r w:rsidRPr="003448D2">
        <w:t xml:space="preserve">II. </w:t>
      </w:r>
      <w:r w:rsidR="00F57B49">
        <w:tab/>
      </w:r>
      <w:r w:rsidR="002F61BC">
        <w:t>THE PLAIN LANGUAGE THEY COPYRIGHT ACT AND THEORETICAL FOUNDATIONS OF AUTHORSHIP REQUIRE A WRITTEN AGREEMENT TO COMMENCE A WORK-MADE-FOR-HIRE RELATIONSHIP.</w:t>
      </w:r>
    </w:p>
    <w:p w14:paraId="428260D4" w14:textId="77777777" w:rsidR="00E2020D" w:rsidRDefault="00E2020D" w:rsidP="00E2020D">
      <w:pPr>
        <w:pStyle w:val="BodyTextIndent"/>
        <w:spacing w:line="240" w:lineRule="auto"/>
      </w:pPr>
    </w:p>
    <w:p w14:paraId="1EC9756B" w14:textId="77777777" w:rsidR="00EF4B55" w:rsidRDefault="00EF4B55" w:rsidP="00E2020D">
      <w:pPr>
        <w:pStyle w:val="BodyTextIndent2"/>
        <w:spacing w:line="480" w:lineRule="auto"/>
      </w:pPr>
      <w:r>
        <w:t xml:space="preserve">The Copyright </w:t>
      </w:r>
      <w:r w:rsidR="00DF5128">
        <w:t>A</w:t>
      </w:r>
      <w:r w:rsidR="00A31D39">
        <w:t xml:space="preserve">ct </w:t>
      </w:r>
      <w:r w:rsidR="002F61BC">
        <w:t xml:space="preserve">sets legal and technical </w:t>
      </w:r>
      <w:r w:rsidR="00924817">
        <w:t>conditions required to initialize a work-made-for-hire relationship.</w:t>
      </w:r>
      <w:r w:rsidR="00A31D39">
        <w:t xml:space="preserve"> While the statute explicitly states that the agreement must be in writing, it does not specify a </w:t>
      </w:r>
      <w:proofErr w:type="gramStart"/>
      <w:r w:rsidR="00BB18B0">
        <w:t>time-</w:t>
      </w:r>
      <w:r w:rsidR="00A31D39">
        <w:t>frame</w:t>
      </w:r>
      <w:proofErr w:type="gramEnd"/>
      <w:r w:rsidR="00A31D39">
        <w:t xml:space="preserve"> </w:t>
      </w:r>
      <w:r w:rsidR="002F61BC">
        <w:t>under</w:t>
      </w:r>
      <w:r w:rsidR="00A31D39">
        <w:t xml:space="preserve"> which the instruments must be signed by the parties. </w:t>
      </w:r>
      <w:r w:rsidR="00924817">
        <w:t xml:space="preserve">However, when the statute is read as a whole and the purpose of the Copyright Act </w:t>
      </w:r>
      <w:r w:rsidR="002F61BC">
        <w:t>is</w:t>
      </w:r>
      <w:r w:rsidR="00924817">
        <w:t xml:space="preserve"> considered, the most reasonable statutory construction requires that the written agreement predate </w:t>
      </w:r>
      <w:r w:rsidR="00DF5128">
        <w:t>the creation of the work.</w:t>
      </w:r>
    </w:p>
    <w:p w14:paraId="31AA3987" w14:textId="77777777" w:rsidR="00E2020D" w:rsidRPr="00F57B49" w:rsidRDefault="00F33A74" w:rsidP="00E2020D">
      <w:pPr>
        <w:pStyle w:val="ListParagraph"/>
        <w:widowControl/>
        <w:numPr>
          <w:ilvl w:val="0"/>
          <w:numId w:val="13"/>
        </w:numPr>
        <w:snapToGrid/>
        <w:rPr>
          <w:szCs w:val="24"/>
          <w:u w:val="single"/>
        </w:rPr>
      </w:pPr>
      <w:r w:rsidRPr="00F57B49">
        <w:rPr>
          <w:szCs w:val="24"/>
          <w:u w:val="single"/>
        </w:rPr>
        <w:t>The Copyright Act, When Read As A Whole, Requires That The Written Agreement Initialize The Work-Made-For-Hire Relationship.</w:t>
      </w:r>
    </w:p>
    <w:p w14:paraId="6A6DB799" w14:textId="77777777" w:rsidR="00DF5128" w:rsidRPr="00E2020D" w:rsidRDefault="00DF5128" w:rsidP="00DF5128">
      <w:pPr>
        <w:pStyle w:val="ListParagraph"/>
        <w:widowControl/>
        <w:snapToGrid/>
        <w:ind w:left="1080"/>
        <w:rPr>
          <w:szCs w:val="24"/>
        </w:rPr>
      </w:pPr>
    </w:p>
    <w:p w14:paraId="0E295455" w14:textId="77777777" w:rsidR="00FB013E" w:rsidRDefault="00FB013E" w:rsidP="00E2020D">
      <w:pPr>
        <w:pStyle w:val="BodyTextIndent2"/>
        <w:spacing w:line="480" w:lineRule="auto"/>
      </w:pPr>
      <w:r>
        <w:t>A work-made-for-hire is created when “</w:t>
      </w:r>
      <w:r w:rsidRPr="00FB013E">
        <w:t>a work specia</w:t>
      </w:r>
      <w:r w:rsidR="002F61BC">
        <w:t xml:space="preserve">lly ordered or </w:t>
      </w:r>
      <w:proofErr w:type="gramStart"/>
      <w:r w:rsidR="002F61BC">
        <w:t>commissioned.</w:t>
      </w:r>
      <w:proofErr w:type="gramEnd"/>
      <w:r w:rsidR="002F61BC">
        <w:t xml:space="preserve"> . . .</w:t>
      </w:r>
      <w:r w:rsidRPr="00FB013E">
        <w:t xml:space="preserve"> </w:t>
      </w:r>
      <w:proofErr w:type="gramStart"/>
      <w:r w:rsidRPr="00FB013E">
        <w:t>as</w:t>
      </w:r>
      <w:proofErr w:type="gramEnd"/>
      <w:r w:rsidRPr="00FB013E">
        <w:t xml:space="preserve"> a part of a motion pict</w:t>
      </w:r>
      <w:r w:rsidR="00845389">
        <w:t>ure or other audiovisual work</w:t>
      </w:r>
      <w:r w:rsidR="001D4AE4">
        <w:t>. . . .</w:t>
      </w:r>
      <w:r w:rsidR="00845389">
        <w:t xml:space="preserve"> [</w:t>
      </w:r>
      <w:proofErr w:type="gramStart"/>
      <w:r w:rsidR="00845389">
        <w:t>and</w:t>
      </w:r>
      <w:proofErr w:type="gramEnd"/>
      <w:r w:rsidR="00845389">
        <w:t xml:space="preserve">] </w:t>
      </w:r>
      <w:r w:rsidRPr="00FB013E">
        <w:t xml:space="preserve">the parties expressly agree in a written instrument signed by them that the work shall be considered a work </w:t>
      </w:r>
      <w:r w:rsidR="00845389">
        <w:t xml:space="preserve">made for hire.” </w:t>
      </w:r>
      <w:proofErr w:type="gramStart"/>
      <w:r w:rsidR="00845389">
        <w:t xml:space="preserve">17 </w:t>
      </w:r>
      <w:r w:rsidR="00845389">
        <w:lastRenderedPageBreak/>
        <w:t>U.S.C § 101</w:t>
      </w:r>
      <w:r w:rsidR="00140BDE">
        <w:t xml:space="preserve"> (2010)</w:t>
      </w:r>
      <w:r w:rsidR="00845389">
        <w:t>.</w:t>
      </w:r>
      <w:proofErr w:type="gramEnd"/>
      <w:r w:rsidR="00845389">
        <w:t xml:space="preserve"> When the work-made-for-hire agreement is properly </w:t>
      </w:r>
      <w:r w:rsidR="001D4AE4">
        <w:t>initialized</w:t>
      </w:r>
      <w:r w:rsidR="00845389">
        <w:t xml:space="preserve"> via a written instrument, the “employer… for whom the work was prepared is considered the </w:t>
      </w:r>
      <w:proofErr w:type="gramStart"/>
      <w:r w:rsidR="00845389">
        <w:t>author</w:t>
      </w:r>
      <w:r w:rsidR="001D4AE4">
        <w:t>.</w:t>
      </w:r>
      <w:proofErr w:type="gramEnd"/>
      <w:r w:rsidR="001D4AE4">
        <w:t xml:space="preserve"> . . .” </w:t>
      </w:r>
      <w:proofErr w:type="gramStart"/>
      <w:r w:rsidR="00845389">
        <w:t xml:space="preserve">17 U.S.C. </w:t>
      </w:r>
      <w:r w:rsidR="00252BC2">
        <w:t xml:space="preserve">§ </w:t>
      </w:r>
      <w:r w:rsidR="00845389">
        <w:t>201(b)</w:t>
      </w:r>
      <w:r w:rsidR="00140BDE">
        <w:t xml:space="preserve"> (2010)</w:t>
      </w:r>
      <w:r w:rsidR="00845389">
        <w:t>.</w:t>
      </w:r>
      <w:proofErr w:type="gramEnd"/>
      <w:r w:rsidR="00845389">
        <w:t xml:space="preserve"> </w:t>
      </w:r>
      <w:r w:rsidR="00214BCA">
        <w:t xml:space="preserve">However, where a work-made-for-hire relationship remains uninitialized, copyright ownership </w:t>
      </w:r>
      <w:r w:rsidR="00DF5128">
        <w:t xml:space="preserve">rests </w:t>
      </w:r>
      <w:r w:rsidR="00214BCA">
        <w:t xml:space="preserve">wholly </w:t>
      </w:r>
      <w:r w:rsidR="00DF5128">
        <w:t xml:space="preserve">in </w:t>
      </w:r>
      <w:r w:rsidR="00214BCA">
        <w:t>the possession of the original author.</w:t>
      </w:r>
      <w:r w:rsidR="00F57B49">
        <w:t xml:space="preserve"> </w:t>
      </w:r>
      <w:proofErr w:type="gramStart"/>
      <w:r w:rsidR="00140BDE">
        <w:t>17 U.S.C. §201(a) (2010).</w:t>
      </w:r>
      <w:proofErr w:type="gramEnd"/>
      <w:r w:rsidR="00140BDE">
        <w:t xml:space="preserve"> </w:t>
      </w:r>
      <w:r w:rsidR="001D4AE4">
        <w:t>Furthermore, the Copyright Act provides no provisions to transfer authorship absent a work-made-for-hire agreement.</w:t>
      </w:r>
    </w:p>
    <w:p w14:paraId="6294FBFF" w14:textId="77777777" w:rsidR="00D61425" w:rsidRDefault="00D61425" w:rsidP="00E2020D">
      <w:pPr>
        <w:pStyle w:val="BodyTextIndent2"/>
        <w:spacing w:line="480" w:lineRule="auto"/>
      </w:pPr>
      <w:r>
        <w:t xml:space="preserve">The statute does </w:t>
      </w:r>
      <w:r w:rsidR="00FA3C60">
        <w:t xml:space="preserve">not explicitly </w:t>
      </w:r>
      <w:r>
        <w:t xml:space="preserve">state when </w:t>
      </w:r>
      <w:proofErr w:type="gramStart"/>
      <w:r>
        <w:t>the written instrument must be signed by both parties</w:t>
      </w:r>
      <w:proofErr w:type="gramEnd"/>
      <w:r>
        <w:t xml:space="preserve">. However, </w:t>
      </w:r>
      <w:r w:rsidR="00252BC2">
        <w:t>the provision could not be more</w:t>
      </w:r>
      <w:r>
        <w:t xml:space="preserve"> </w:t>
      </w:r>
      <w:r w:rsidR="00FA771C">
        <w:t>explicit</w:t>
      </w:r>
      <w:r>
        <w:t xml:space="preserve"> that an oral agreement is </w:t>
      </w:r>
      <w:r w:rsidR="009603C5">
        <w:t>in</w:t>
      </w:r>
      <w:r>
        <w:t>sufficient to initialize</w:t>
      </w:r>
      <w:r w:rsidR="00FA3C60">
        <w:t>, sustain,</w:t>
      </w:r>
      <w:r>
        <w:t xml:space="preserve"> and evidence a w</w:t>
      </w:r>
      <w:r w:rsidR="00FA771C">
        <w:t>ork-made-for-hire relationship</w:t>
      </w:r>
      <w:r w:rsidR="00252BC2">
        <w:t>;</w:t>
      </w:r>
      <w:r w:rsidR="00FA771C">
        <w:t xml:space="preserve"> rather</w:t>
      </w:r>
      <w:r w:rsidR="001D4AE4">
        <w:t>,</w:t>
      </w:r>
      <w:r w:rsidR="00FA771C">
        <w:t xml:space="preserve"> </w:t>
      </w:r>
      <w:r w:rsidR="00252BC2">
        <w:t xml:space="preserve">there must </w:t>
      </w:r>
      <w:r w:rsidR="00FA3C60">
        <w:t>exist</w:t>
      </w:r>
      <w:r w:rsidR="00252BC2">
        <w:t xml:space="preserve"> a </w:t>
      </w:r>
      <w:r w:rsidR="00252BC2" w:rsidRPr="009603C5">
        <w:rPr>
          <w:i/>
        </w:rPr>
        <w:t>written instrument</w:t>
      </w:r>
      <w:r w:rsidR="00252BC2">
        <w:t xml:space="preserve"> </w:t>
      </w:r>
      <w:r w:rsidR="009603C5">
        <w:t>signed by both parties specifically documenting</w:t>
      </w:r>
      <w:r w:rsidR="00EC0675">
        <w:t xml:space="preserve"> that the future </w:t>
      </w:r>
      <w:r w:rsidR="00252BC2">
        <w:t xml:space="preserve">work is </w:t>
      </w:r>
      <w:r w:rsidR="00EC0675">
        <w:t xml:space="preserve">made under </w:t>
      </w:r>
      <w:r w:rsidR="00252BC2">
        <w:t>work-made-for-hire relationship. Without that written instru</w:t>
      </w:r>
      <w:r w:rsidR="009603C5">
        <w:t>ment</w:t>
      </w:r>
      <w:r w:rsidR="00252BC2">
        <w:t xml:space="preserve"> the r</w:t>
      </w:r>
      <w:r w:rsidR="009603C5">
        <w:t xml:space="preserve">elationship ceases to be formed and </w:t>
      </w:r>
      <w:r w:rsidR="00252BC2">
        <w:t>the creator</w:t>
      </w:r>
      <w:r w:rsidR="009603C5">
        <w:t>, as a matter of law,</w:t>
      </w:r>
      <w:r w:rsidR="00252BC2">
        <w:t xml:space="preserve"> is indefinitely</w:t>
      </w:r>
      <w:r w:rsidR="009603C5">
        <w:t xml:space="preserve"> the author.</w:t>
      </w:r>
    </w:p>
    <w:p w14:paraId="08944B8B" w14:textId="77777777" w:rsidR="009603C5" w:rsidRPr="00F30AC0" w:rsidRDefault="003E7E49" w:rsidP="00F30AC0">
      <w:pPr>
        <w:spacing w:line="480" w:lineRule="auto"/>
        <w:ind w:firstLine="720"/>
        <w:rPr>
          <w:szCs w:val="24"/>
        </w:rPr>
      </w:pPr>
      <w:r>
        <w:t>When statutes contain ambiguities</w:t>
      </w:r>
      <w:r w:rsidR="00FA3C60">
        <w:t xml:space="preserve"> or </w:t>
      </w:r>
      <w:r w:rsidR="009603C5">
        <w:t>are</w:t>
      </w:r>
      <w:r w:rsidR="00FA3C60">
        <w:t xml:space="preserve"> silent on a particular matter</w:t>
      </w:r>
      <w:r>
        <w:t>, the Court may look to surrounding text for contextual information</w:t>
      </w:r>
      <w:r w:rsidR="00FA3C60">
        <w:t>:</w:t>
      </w:r>
      <w:r w:rsidR="00140BDE">
        <w:t xml:space="preserve"> </w:t>
      </w:r>
      <w:r w:rsidR="00966DD6" w:rsidRPr="00966DD6">
        <w:rPr>
          <w:szCs w:val="24"/>
        </w:rPr>
        <w:t>“in expou</w:t>
      </w:r>
      <w:r w:rsidR="00FA3C60">
        <w:rPr>
          <w:szCs w:val="24"/>
        </w:rPr>
        <w:t xml:space="preserve">nding a statute, we [are] </w:t>
      </w:r>
      <w:proofErr w:type="gramStart"/>
      <w:r w:rsidR="00FA3C60">
        <w:rPr>
          <w:szCs w:val="24"/>
        </w:rPr>
        <w:t>not.</w:t>
      </w:r>
      <w:proofErr w:type="gramEnd"/>
      <w:r w:rsidR="00FA3C60">
        <w:rPr>
          <w:szCs w:val="24"/>
        </w:rPr>
        <w:t xml:space="preserve"> . . </w:t>
      </w:r>
      <w:r w:rsidR="00966DD6" w:rsidRPr="00966DD6">
        <w:rPr>
          <w:szCs w:val="24"/>
        </w:rPr>
        <w:t xml:space="preserve">. </w:t>
      </w:r>
      <w:proofErr w:type="gramStart"/>
      <w:r w:rsidR="00966DD6" w:rsidRPr="00966DD6">
        <w:rPr>
          <w:szCs w:val="24"/>
        </w:rPr>
        <w:t>guided</w:t>
      </w:r>
      <w:proofErr w:type="gramEnd"/>
      <w:r w:rsidR="00966DD6" w:rsidRPr="00966DD6">
        <w:rPr>
          <w:szCs w:val="24"/>
        </w:rPr>
        <w:t xml:space="preserve"> by a single sentence or member of a sentence, but look to the provisions of the whole law</w:t>
      </w:r>
      <w:r w:rsidR="009603C5">
        <w:rPr>
          <w:szCs w:val="24"/>
        </w:rPr>
        <w:t xml:space="preserve">. . . </w:t>
      </w:r>
      <w:r w:rsidR="00966DD6" w:rsidRPr="00966DD6">
        <w:rPr>
          <w:szCs w:val="24"/>
        </w:rPr>
        <w:t xml:space="preserve">.” </w:t>
      </w:r>
      <w:r w:rsidR="00966DD6">
        <w:rPr>
          <w:i/>
          <w:szCs w:val="24"/>
        </w:rPr>
        <w:t xml:space="preserve">Massachusetts v. </w:t>
      </w:r>
      <w:proofErr w:type="spellStart"/>
      <w:r w:rsidR="00966DD6" w:rsidRPr="00966DD6">
        <w:rPr>
          <w:i/>
          <w:szCs w:val="24"/>
        </w:rPr>
        <w:t>Morash</w:t>
      </w:r>
      <w:proofErr w:type="spellEnd"/>
      <w:r w:rsidR="00966DD6" w:rsidRPr="00966DD6">
        <w:rPr>
          <w:szCs w:val="24"/>
        </w:rPr>
        <w:t>,</w:t>
      </w:r>
      <w:r w:rsidR="00966DD6">
        <w:rPr>
          <w:i/>
          <w:szCs w:val="24"/>
        </w:rPr>
        <w:t xml:space="preserve"> </w:t>
      </w:r>
      <w:r w:rsidR="00966DD6">
        <w:rPr>
          <w:szCs w:val="24"/>
        </w:rPr>
        <w:t xml:space="preserve">490 U.S. 107, 115 (1989) (quoting </w:t>
      </w:r>
      <w:r w:rsidR="00966DD6" w:rsidRPr="00966DD6">
        <w:rPr>
          <w:i/>
          <w:iCs/>
          <w:szCs w:val="24"/>
        </w:rPr>
        <w:t xml:space="preserve">Pilot Life Ins. Co. v. </w:t>
      </w:r>
      <w:proofErr w:type="spellStart"/>
      <w:r w:rsidR="00966DD6" w:rsidRPr="00966DD6">
        <w:rPr>
          <w:i/>
          <w:iCs/>
          <w:szCs w:val="24"/>
        </w:rPr>
        <w:t>Dedeaux</w:t>
      </w:r>
      <w:proofErr w:type="spellEnd"/>
      <w:r w:rsidR="00966DD6" w:rsidRPr="00966DD6">
        <w:rPr>
          <w:iCs/>
          <w:szCs w:val="24"/>
        </w:rPr>
        <w:t>,</w:t>
      </w:r>
      <w:r w:rsidR="00966DD6" w:rsidRPr="00966DD6">
        <w:rPr>
          <w:szCs w:val="24"/>
        </w:rPr>
        <w:t xml:space="preserve"> </w:t>
      </w:r>
      <w:r w:rsidR="00966DD6">
        <w:rPr>
          <w:szCs w:val="24"/>
        </w:rPr>
        <w:t>481 U.S. 41,</w:t>
      </w:r>
      <w:r w:rsidR="00966DD6" w:rsidRPr="00966DD6">
        <w:rPr>
          <w:szCs w:val="24"/>
        </w:rPr>
        <w:t xml:space="preserve"> 51</w:t>
      </w:r>
      <w:r w:rsidR="00966DD6">
        <w:rPr>
          <w:szCs w:val="24"/>
        </w:rPr>
        <w:t xml:space="preserve"> (1987)). </w:t>
      </w:r>
      <w:r w:rsidR="009C10BD">
        <w:rPr>
          <w:szCs w:val="24"/>
        </w:rPr>
        <w:t>Thus, “it is ‘</w:t>
      </w:r>
      <w:r w:rsidR="009C10BD" w:rsidRPr="009C10BD">
        <w:rPr>
          <w:szCs w:val="24"/>
        </w:rPr>
        <w:t>a cardinal prin</w:t>
      </w:r>
      <w:r w:rsidR="009C10BD">
        <w:rPr>
          <w:szCs w:val="24"/>
        </w:rPr>
        <w:t>ciple of statutory construction’</w:t>
      </w:r>
      <w:r w:rsidR="009C10BD" w:rsidRPr="009C10BD">
        <w:rPr>
          <w:szCs w:val="24"/>
        </w:rPr>
        <w:t xml:space="preserve"> </w:t>
      </w:r>
      <w:r w:rsidR="009C10BD">
        <w:rPr>
          <w:szCs w:val="24"/>
        </w:rPr>
        <w:t>that ‘</w:t>
      </w:r>
      <w:r w:rsidR="009C10BD" w:rsidRPr="009C10BD">
        <w:rPr>
          <w:szCs w:val="24"/>
        </w:rPr>
        <w:t>a statute ought, upon the whole, to be so construed that, if it can be prevented, no clause, sentence, or word shall be superfluous, void, or insignificant.</w:t>
      </w:r>
      <w:r w:rsidR="009C10BD">
        <w:rPr>
          <w:szCs w:val="24"/>
        </w:rPr>
        <w:t>’</w:t>
      </w:r>
      <w:r w:rsidR="009C10BD" w:rsidRPr="009C10BD">
        <w:rPr>
          <w:szCs w:val="24"/>
        </w:rPr>
        <w:t>”</w:t>
      </w:r>
      <w:r w:rsidR="009C10BD">
        <w:rPr>
          <w:szCs w:val="24"/>
        </w:rPr>
        <w:t xml:space="preserve"> </w:t>
      </w:r>
      <w:r w:rsidR="009C10BD" w:rsidRPr="009C10BD">
        <w:rPr>
          <w:i/>
          <w:szCs w:val="24"/>
        </w:rPr>
        <w:t>TRW Inc. v. Andrews</w:t>
      </w:r>
      <w:r w:rsidR="009C10BD">
        <w:rPr>
          <w:szCs w:val="24"/>
        </w:rPr>
        <w:t xml:space="preserve">, 534 U.S. 19, 31 (2001) (quoting </w:t>
      </w:r>
      <w:r w:rsidR="009C10BD">
        <w:rPr>
          <w:i/>
          <w:szCs w:val="24"/>
        </w:rPr>
        <w:t>Duncan v. Walker</w:t>
      </w:r>
      <w:r w:rsidR="009C10BD">
        <w:rPr>
          <w:szCs w:val="24"/>
        </w:rPr>
        <w:t>, 533 US 167, 174 (2001)).</w:t>
      </w:r>
      <w:r w:rsidR="00F30AC0">
        <w:rPr>
          <w:szCs w:val="24"/>
        </w:rPr>
        <w:t xml:space="preserve"> </w:t>
      </w:r>
      <w:r>
        <w:t>Therefore</w:t>
      </w:r>
      <w:r w:rsidR="009C10BD" w:rsidRPr="00425BC8">
        <w:t>, when tasked with deciding when the written instrum</w:t>
      </w:r>
      <w:r>
        <w:t>ent must be signed, we need not — and should not —</w:t>
      </w:r>
      <w:r w:rsidR="009C10BD" w:rsidRPr="00425BC8">
        <w:t xml:space="preserve"> narrowly </w:t>
      </w:r>
      <w:r w:rsidR="009603C5">
        <w:t xml:space="preserve">confine </w:t>
      </w:r>
      <w:r w:rsidR="009C10BD" w:rsidRPr="00425BC8">
        <w:t xml:space="preserve">focus </w:t>
      </w:r>
      <w:r w:rsidR="009603C5">
        <w:t>only</w:t>
      </w:r>
      <w:r w:rsidR="009C10BD" w:rsidRPr="00425BC8">
        <w:t xml:space="preserve"> on the work-made-for-hire provision. Rather, both the </w:t>
      </w:r>
      <w:proofErr w:type="gramStart"/>
      <w:r w:rsidR="009C10BD" w:rsidRPr="00425BC8">
        <w:t>Plaintiff’s</w:t>
      </w:r>
      <w:proofErr w:type="gramEnd"/>
      <w:r w:rsidR="009C10BD" w:rsidRPr="00425BC8">
        <w:t xml:space="preserve"> and Defendants’ constructions must be considered in light of the statute as </w:t>
      </w:r>
      <w:r w:rsidR="009603C5">
        <w:t xml:space="preserve">it exists </w:t>
      </w:r>
      <w:r w:rsidR="009C10BD" w:rsidRPr="00425BC8">
        <w:t>a</w:t>
      </w:r>
      <w:r w:rsidR="009603C5">
        <w:t>s</w:t>
      </w:r>
      <w:r w:rsidR="009C10BD" w:rsidRPr="00425BC8">
        <w:t xml:space="preserve"> whole. </w:t>
      </w:r>
    </w:p>
    <w:p w14:paraId="3C22C82C" w14:textId="77777777" w:rsidR="00905CE3" w:rsidRDefault="009603C5" w:rsidP="000750F8">
      <w:pPr>
        <w:pStyle w:val="BodyTextIndent2"/>
        <w:widowControl w:val="0"/>
        <w:snapToGrid w:val="0"/>
        <w:spacing w:line="480" w:lineRule="auto"/>
        <w:rPr>
          <w:szCs w:val="20"/>
        </w:rPr>
      </w:pPr>
      <w:r>
        <w:rPr>
          <w:szCs w:val="20"/>
        </w:rPr>
        <w:lastRenderedPageBreak/>
        <w:t xml:space="preserve">The Copyright Act </w:t>
      </w:r>
      <w:r w:rsidR="00F20F83">
        <w:rPr>
          <w:szCs w:val="20"/>
        </w:rPr>
        <w:t>unequivocally</w:t>
      </w:r>
      <w:r>
        <w:rPr>
          <w:szCs w:val="20"/>
        </w:rPr>
        <w:t xml:space="preserve"> contains</w:t>
      </w:r>
      <w:r w:rsidR="00F20F83">
        <w:rPr>
          <w:szCs w:val="20"/>
        </w:rPr>
        <w:t xml:space="preserve"> provisions that allow</w:t>
      </w:r>
      <w:r>
        <w:rPr>
          <w:szCs w:val="20"/>
        </w:rPr>
        <w:t xml:space="preserve"> a transfer of cop</w:t>
      </w:r>
      <w:r w:rsidR="00F20F83">
        <w:rPr>
          <w:szCs w:val="20"/>
        </w:rPr>
        <w:t xml:space="preserve">yright </w:t>
      </w:r>
      <w:r w:rsidR="001D4AE4">
        <w:rPr>
          <w:szCs w:val="20"/>
        </w:rPr>
        <w:t xml:space="preserve">ownership </w:t>
      </w:r>
      <w:r w:rsidR="00F20F83">
        <w:rPr>
          <w:szCs w:val="20"/>
        </w:rPr>
        <w:t xml:space="preserve">after a work is created </w:t>
      </w:r>
      <w:r w:rsidR="009C10BD" w:rsidRPr="00425BC8">
        <w:rPr>
          <w:szCs w:val="20"/>
        </w:rPr>
        <w:t xml:space="preserve">via a written instrument specifying their mutual intention to do so. </w:t>
      </w:r>
      <w:proofErr w:type="gramStart"/>
      <w:r w:rsidR="009C10BD" w:rsidRPr="00425BC8">
        <w:rPr>
          <w:szCs w:val="20"/>
        </w:rPr>
        <w:t xml:space="preserve">17 U.S.C. </w:t>
      </w:r>
      <w:r w:rsidR="00252BC2" w:rsidRPr="00425BC8">
        <w:rPr>
          <w:szCs w:val="20"/>
        </w:rPr>
        <w:t>§ 201(d</w:t>
      </w:r>
      <w:r w:rsidR="009C10BD" w:rsidRPr="00425BC8">
        <w:rPr>
          <w:szCs w:val="20"/>
        </w:rPr>
        <w:t>).</w:t>
      </w:r>
      <w:proofErr w:type="gramEnd"/>
      <w:r w:rsidR="009C10BD" w:rsidRPr="00425BC8">
        <w:rPr>
          <w:szCs w:val="20"/>
        </w:rPr>
        <w:t xml:space="preserve"> </w:t>
      </w:r>
      <w:r w:rsidR="00252BC2" w:rsidRPr="00425BC8">
        <w:rPr>
          <w:szCs w:val="20"/>
        </w:rPr>
        <w:t xml:space="preserve">This section provides relief to parties </w:t>
      </w:r>
      <w:r w:rsidR="00905CE3">
        <w:rPr>
          <w:szCs w:val="20"/>
        </w:rPr>
        <w:t>who did not create a work-made-for-hire agreement but wish the employer to hold the copyright</w:t>
      </w:r>
      <w:r w:rsidR="00252BC2" w:rsidRPr="00425BC8">
        <w:rPr>
          <w:szCs w:val="20"/>
        </w:rPr>
        <w:t xml:space="preserve">. </w:t>
      </w:r>
      <w:r w:rsidR="00425BC8" w:rsidRPr="00425BC8">
        <w:rPr>
          <w:szCs w:val="20"/>
        </w:rPr>
        <w:t xml:space="preserve">If, as in the present case, </w:t>
      </w:r>
      <w:r w:rsidR="00425BC8">
        <w:rPr>
          <w:szCs w:val="20"/>
        </w:rPr>
        <w:t>the employer/commissioner wishes to alter the owner</w:t>
      </w:r>
      <w:r w:rsidR="00F57B49">
        <w:rPr>
          <w:szCs w:val="20"/>
        </w:rPr>
        <w:t>ship</w:t>
      </w:r>
      <w:r w:rsidR="00425BC8">
        <w:rPr>
          <w:szCs w:val="20"/>
        </w:rPr>
        <w:t xml:space="preserve"> of the copyright, the parties are free to do so pursuant to § 201(d). Any construction of the work-made-for-hire provision that allows an indefinite </w:t>
      </w:r>
      <w:r w:rsidR="00EA7FF9">
        <w:rPr>
          <w:szCs w:val="20"/>
        </w:rPr>
        <w:t>period</w:t>
      </w:r>
      <w:r w:rsidR="00425BC8">
        <w:rPr>
          <w:szCs w:val="20"/>
        </w:rPr>
        <w:t xml:space="preserve"> to alter ownership renders </w:t>
      </w:r>
      <w:r w:rsidR="00EA7FF9">
        <w:rPr>
          <w:szCs w:val="20"/>
        </w:rPr>
        <w:t>§201(d) superfluous.</w:t>
      </w:r>
      <w:r w:rsidR="00F20F83">
        <w:rPr>
          <w:szCs w:val="20"/>
        </w:rPr>
        <w:t xml:space="preserve"> Instead, the Court should recognize that these are parallel provisions corresponding to two distinct situations: the work-made-for-hire allows for pre-creation copyright modification while the transfer provisions allow for a post-creation process transferring ownership.</w:t>
      </w:r>
    </w:p>
    <w:p w14:paraId="1D660E10" w14:textId="77777777" w:rsidR="000750F8" w:rsidRDefault="00905CE3" w:rsidP="000750F8">
      <w:pPr>
        <w:pStyle w:val="BodyTextIndent2"/>
        <w:widowControl w:val="0"/>
        <w:snapToGrid w:val="0"/>
        <w:spacing w:line="480" w:lineRule="auto"/>
        <w:rPr>
          <w:szCs w:val="20"/>
        </w:rPr>
      </w:pPr>
      <w:r>
        <w:rPr>
          <w:szCs w:val="20"/>
        </w:rPr>
        <w:t>Because reading</w:t>
      </w:r>
      <w:r w:rsidR="00F20F83">
        <w:rPr>
          <w:szCs w:val="20"/>
        </w:rPr>
        <w:t xml:space="preserve"> </w:t>
      </w:r>
      <w:r w:rsidR="00F30AC0">
        <w:rPr>
          <w:szCs w:val="20"/>
        </w:rPr>
        <w:t xml:space="preserve">the </w:t>
      </w:r>
      <w:r w:rsidR="00F20F83">
        <w:rPr>
          <w:szCs w:val="20"/>
        </w:rPr>
        <w:t>Copyright Act</w:t>
      </w:r>
      <w:r>
        <w:rPr>
          <w:szCs w:val="20"/>
        </w:rPr>
        <w:t xml:space="preserve"> as a whole requires </w:t>
      </w:r>
      <w:r w:rsidR="00F30AC0">
        <w:rPr>
          <w:szCs w:val="20"/>
        </w:rPr>
        <w:t>the</w:t>
      </w:r>
      <w:r>
        <w:rPr>
          <w:szCs w:val="20"/>
        </w:rPr>
        <w:t xml:space="preserve"> </w:t>
      </w:r>
      <w:r w:rsidR="00F30AC0">
        <w:rPr>
          <w:szCs w:val="20"/>
        </w:rPr>
        <w:t>existence</w:t>
      </w:r>
      <w:r w:rsidR="001C410F">
        <w:rPr>
          <w:szCs w:val="20"/>
        </w:rPr>
        <w:t xml:space="preserve"> of a</w:t>
      </w:r>
      <w:r w:rsidR="00F20F83">
        <w:rPr>
          <w:szCs w:val="20"/>
        </w:rPr>
        <w:t xml:space="preserve"> </w:t>
      </w:r>
      <w:r>
        <w:rPr>
          <w:szCs w:val="20"/>
        </w:rPr>
        <w:t xml:space="preserve">signed written </w:t>
      </w:r>
      <w:r w:rsidR="00F20F83">
        <w:rPr>
          <w:szCs w:val="20"/>
        </w:rPr>
        <w:t>instrument</w:t>
      </w:r>
      <w:r w:rsidR="00F30AC0">
        <w:rPr>
          <w:szCs w:val="20"/>
        </w:rPr>
        <w:t xml:space="preserve"> before creation of the </w:t>
      </w:r>
      <w:r>
        <w:rPr>
          <w:szCs w:val="20"/>
        </w:rPr>
        <w:t xml:space="preserve">work-made-for-hire </w:t>
      </w:r>
      <w:r w:rsidR="00F30AC0">
        <w:rPr>
          <w:szCs w:val="20"/>
        </w:rPr>
        <w:t>agreement</w:t>
      </w:r>
      <w:r w:rsidR="00F20F83">
        <w:rPr>
          <w:szCs w:val="20"/>
        </w:rPr>
        <w:t xml:space="preserve"> and the parties did not sign the agreement before the screen plays production, the Court must grant the Motion to Dismiss in favor of the Defendants.</w:t>
      </w:r>
    </w:p>
    <w:p w14:paraId="6F3639A0" w14:textId="77777777" w:rsidR="000750F8" w:rsidRDefault="00F30AC0" w:rsidP="000750F8">
      <w:pPr>
        <w:pStyle w:val="BodyTextIndent2"/>
        <w:widowControl w:val="0"/>
        <w:numPr>
          <w:ilvl w:val="0"/>
          <w:numId w:val="13"/>
        </w:numPr>
        <w:snapToGrid w:val="0"/>
        <w:spacing w:line="240" w:lineRule="auto"/>
        <w:ind w:firstLine="0"/>
        <w:rPr>
          <w:szCs w:val="20"/>
          <w:u w:val="single"/>
        </w:rPr>
      </w:pPr>
      <w:r w:rsidRPr="00F30AC0">
        <w:rPr>
          <w:szCs w:val="20"/>
          <w:u w:val="single"/>
        </w:rPr>
        <w:t>Common and Legal Explications</w:t>
      </w:r>
      <w:r w:rsidR="00577B41" w:rsidRPr="00F30AC0">
        <w:rPr>
          <w:szCs w:val="20"/>
          <w:u w:val="single"/>
        </w:rPr>
        <w:t xml:space="preserve"> </w:t>
      </w:r>
      <w:r w:rsidRPr="00F30AC0">
        <w:rPr>
          <w:szCs w:val="20"/>
          <w:u w:val="single"/>
        </w:rPr>
        <w:t>of</w:t>
      </w:r>
      <w:r w:rsidR="00577B41" w:rsidRPr="00F30AC0">
        <w:rPr>
          <w:szCs w:val="20"/>
          <w:u w:val="single"/>
        </w:rPr>
        <w:t xml:space="preserve"> Authorship and Ownership</w:t>
      </w:r>
      <w:r w:rsidRPr="00F30AC0">
        <w:rPr>
          <w:szCs w:val="20"/>
          <w:u w:val="single"/>
        </w:rPr>
        <w:t xml:space="preserve"> Require </w:t>
      </w:r>
      <w:r>
        <w:rPr>
          <w:szCs w:val="20"/>
          <w:u w:val="single"/>
        </w:rPr>
        <w:t>that Authorship Be Vested at Creation and be Non-transferable.</w:t>
      </w:r>
    </w:p>
    <w:p w14:paraId="0E4DA9B6" w14:textId="77777777" w:rsidR="00F30AC0" w:rsidRPr="00F30AC0" w:rsidRDefault="00F30AC0" w:rsidP="00F30AC0">
      <w:pPr>
        <w:pStyle w:val="BodyTextIndent2"/>
        <w:widowControl w:val="0"/>
        <w:snapToGrid w:val="0"/>
        <w:spacing w:line="240" w:lineRule="auto"/>
        <w:ind w:left="1080" w:firstLine="0"/>
        <w:rPr>
          <w:szCs w:val="20"/>
          <w:u w:val="single"/>
        </w:rPr>
      </w:pPr>
    </w:p>
    <w:p w14:paraId="547464E3" w14:textId="77777777" w:rsidR="003E7E49" w:rsidRDefault="002C4E69" w:rsidP="002C4E69">
      <w:pPr>
        <w:pStyle w:val="BodyTextIndent2"/>
        <w:widowControl w:val="0"/>
        <w:snapToGrid w:val="0"/>
        <w:spacing w:line="480" w:lineRule="auto"/>
        <w:rPr>
          <w:szCs w:val="20"/>
        </w:rPr>
      </w:pPr>
      <w:r>
        <w:rPr>
          <w:szCs w:val="20"/>
        </w:rPr>
        <w:t>In arguing that</w:t>
      </w:r>
      <w:r w:rsidR="0075559B">
        <w:rPr>
          <w:szCs w:val="20"/>
        </w:rPr>
        <w:t xml:space="preserve"> the</w:t>
      </w:r>
      <w:r>
        <w:rPr>
          <w:szCs w:val="20"/>
        </w:rPr>
        <w:t xml:space="preserve"> </w:t>
      </w:r>
      <w:r w:rsidR="00D60A32">
        <w:rPr>
          <w:szCs w:val="20"/>
        </w:rPr>
        <w:t>transfer provision</w:t>
      </w:r>
      <w:r>
        <w:rPr>
          <w:szCs w:val="20"/>
        </w:rPr>
        <w:t xml:space="preserve"> does not render </w:t>
      </w:r>
      <w:r w:rsidR="00D60A32">
        <w:rPr>
          <w:szCs w:val="20"/>
        </w:rPr>
        <w:t xml:space="preserve">the work-made-for-hire provision </w:t>
      </w:r>
      <w:r>
        <w:rPr>
          <w:szCs w:val="20"/>
        </w:rPr>
        <w:t xml:space="preserve">superfluous, the Plaintiff must argue that </w:t>
      </w:r>
      <w:r w:rsidR="00D60A32">
        <w:rPr>
          <w:szCs w:val="20"/>
        </w:rPr>
        <w:t xml:space="preserve">transfer </w:t>
      </w:r>
      <w:r>
        <w:rPr>
          <w:szCs w:val="20"/>
        </w:rPr>
        <w:t xml:space="preserve">refers to ownership while </w:t>
      </w:r>
      <w:r w:rsidR="00D60A32">
        <w:rPr>
          <w:szCs w:val="20"/>
        </w:rPr>
        <w:t>work-made-for-hire</w:t>
      </w:r>
      <w:r>
        <w:rPr>
          <w:szCs w:val="20"/>
        </w:rPr>
        <w:t xml:space="preserve"> refers to authorship. However, the fundamental and most significant difference between authorship and ownership is that </w:t>
      </w:r>
      <w:r w:rsidR="00D60A32">
        <w:rPr>
          <w:szCs w:val="20"/>
        </w:rPr>
        <w:t>the former</w:t>
      </w:r>
      <w:r>
        <w:rPr>
          <w:szCs w:val="20"/>
        </w:rPr>
        <w:t xml:space="preserve"> vests a </w:t>
      </w:r>
      <w:r w:rsidRPr="00687F42">
        <w:rPr>
          <w:i/>
          <w:szCs w:val="20"/>
        </w:rPr>
        <w:t>transferable</w:t>
      </w:r>
      <w:r>
        <w:rPr>
          <w:szCs w:val="20"/>
        </w:rPr>
        <w:t xml:space="preserve"> property right. </w:t>
      </w:r>
      <w:r w:rsidR="00D60A32">
        <w:rPr>
          <w:szCs w:val="20"/>
        </w:rPr>
        <w:t xml:space="preserve">The Plaintiff </w:t>
      </w:r>
      <w:r>
        <w:rPr>
          <w:szCs w:val="20"/>
        </w:rPr>
        <w:t xml:space="preserve">fails to </w:t>
      </w:r>
      <w:r w:rsidR="00D60A32">
        <w:rPr>
          <w:szCs w:val="20"/>
        </w:rPr>
        <w:t xml:space="preserve">appreciate that </w:t>
      </w:r>
      <w:r>
        <w:rPr>
          <w:szCs w:val="20"/>
        </w:rPr>
        <w:t>allowing parties to “transfer” author</w:t>
      </w:r>
      <w:r w:rsidR="00D60A32">
        <w:rPr>
          <w:szCs w:val="20"/>
        </w:rPr>
        <w:t>ship after creation analogizes,</w:t>
      </w:r>
      <w:r>
        <w:rPr>
          <w:szCs w:val="20"/>
        </w:rPr>
        <w:t xml:space="preserve"> equates</w:t>
      </w:r>
      <w:r w:rsidR="00D60A32">
        <w:rPr>
          <w:szCs w:val="20"/>
        </w:rPr>
        <w:t>, and imposes</w:t>
      </w:r>
      <w:r>
        <w:rPr>
          <w:szCs w:val="20"/>
        </w:rPr>
        <w:t xml:space="preserve"> the characteristics of ownership </w:t>
      </w:r>
      <w:r w:rsidR="00D60A32">
        <w:rPr>
          <w:szCs w:val="20"/>
        </w:rPr>
        <w:t>onto</w:t>
      </w:r>
      <w:r>
        <w:rPr>
          <w:szCs w:val="20"/>
        </w:rPr>
        <w:t xml:space="preserve"> those of authorship. </w:t>
      </w:r>
    </w:p>
    <w:p w14:paraId="104F3408" w14:textId="77777777" w:rsidR="004613D8" w:rsidRPr="00F57B49" w:rsidRDefault="00E076DD" w:rsidP="00E2020D">
      <w:pPr>
        <w:pStyle w:val="BodyTextIndent2"/>
        <w:widowControl w:val="0"/>
        <w:snapToGrid w:val="0"/>
        <w:spacing w:line="480" w:lineRule="auto"/>
        <w:rPr>
          <w:b/>
          <w:szCs w:val="20"/>
        </w:rPr>
      </w:pPr>
      <w:r>
        <w:rPr>
          <w:szCs w:val="20"/>
        </w:rPr>
        <w:t>Author</w:t>
      </w:r>
      <w:r w:rsidR="00A52A36">
        <w:rPr>
          <w:szCs w:val="20"/>
        </w:rPr>
        <w:t>ship is not commonly understood</w:t>
      </w:r>
      <w:r w:rsidR="00D60A32">
        <w:rPr>
          <w:szCs w:val="20"/>
        </w:rPr>
        <w:t>—</w:t>
      </w:r>
      <w:r w:rsidR="00A52A36">
        <w:rPr>
          <w:szCs w:val="20"/>
        </w:rPr>
        <w:t xml:space="preserve"> nor legally defined— </w:t>
      </w:r>
      <w:r>
        <w:rPr>
          <w:szCs w:val="20"/>
        </w:rPr>
        <w:t xml:space="preserve">as something that is transferable: authorship </w:t>
      </w:r>
      <w:r w:rsidR="00B653BD">
        <w:rPr>
          <w:szCs w:val="20"/>
        </w:rPr>
        <w:t xml:space="preserve">begins and </w:t>
      </w:r>
      <w:r w:rsidR="006B443C">
        <w:rPr>
          <w:szCs w:val="20"/>
        </w:rPr>
        <w:t>permanently set</w:t>
      </w:r>
      <w:r w:rsidR="00B653BD">
        <w:rPr>
          <w:szCs w:val="20"/>
        </w:rPr>
        <w:t xml:space="preserve"> </w:t>
      </w:r>
      <w:r>
        <w:rPr>
          <w:szCs w:val="20"/>
        </w:rPr>
        <w:t xml:space="preserve">upon creation of the work. Merriam-Webster </w:t>
      </w:r>
      <w:r>
        <w:rPr>
          <w:szCs w:val="20"/>
        </w:rPr>
        <w:lastRenderedPageBreak/>
        <w:t xml:space="preserve">defines author as the “one that originates or creates.” </w:t>
      </w:r>
      <w:r w:rsidR="0019486C">
        <w:rPr>
          <w:i/>
          <w:szCs w:val="20"/>
        </w:rPr>
        <w:t xml:space="preserve">Author </w:t>
      </w:r>
      <w:r w:rsidR="0019486C" w:rsidRPr="00BF71FB">
        <w:rPr>
          <w:i/>
          <w:szCs w:val="20"/>
        </w:rPr>
        <w:t>Definition</w:t>
      </w:r>
      <w:r w:rsidR="0019486C">
        <w:rPr>
          <w:szCs w:val="20"/>
        </w:rPr>
        <w:t>, Merriam-Webster.com, http://www.merriam-webster.com/dictionary/author</w:t>
      </w:r>
      <w:r w:rsidR="0019486C">
        <w:t xml:space="preserve"> (last visited </w:t>
      </w:r>
      <w:r w:rsidR="00F57B49">
        <w:t>Mar. 20, 2012</w:t>
      </w:r>
      <w:r w:rsidR="0019486C">
        <w:t xml:space="preserve">). </w:t>
      </w:r>
      <w:r w:rsidRPr="0019486C">
        <w:rPr>
          <w:szCs w:val="20"/>
        </w:rPr>
        <w:t>From</w:t>
      </w:r>
      <w:r>
        <w:rPr>
          <w:szCs w:val="20"/>
        </w:rPr>
        <w:t xml:space="preserve"> this definition, it is impossible to construe auth</w:t>
      </w:r>
      <w:r w:rsidR="00A52A36">
        <w:rPr>
          <w:szCs w:val="20"/>
        </w:rPr>
        <w:t>orship as a transitive</w:t>
      </w:r>
      <w:r w:rsidR="00A52A36" w:rsidRPr="00A52A36">
        <w:rPr>
          <w:szCs w:val="20"/>
        </w:rPr>
        <w:t xml:space="preserve"> </w:t>
      </w:r>
      <w:r w:rsidR="00A52A36">
        <w:rPr>
          <w:szCs w:val="20"/>
        </w:rPr>
        <w:t xml:space="preserve">attribute, able to be </w:t>
      </w:r>
      <w:r>
        <w:rPr>
          <w:szCs w:val="20"/>
        </w:rPr>
        <w:t xml:space="preserve">bestowed upon entities </w:t>
      </w:r>
      <w:r w:rsidRPr="0075559B">
        <w:rPr>
          <w:i/>
          <w:szCs w:val="20"/>
        </w:rPr>
        <w:t>after</w:t>
      </w:r>
      <w:r>
        <w:rPr>
          <w:szCs w:val="20"/>
        </w:rPr>
        <w:t xml:space="preserve"> the original creation of the work. </w:t>
      </w:r>
      <w:r w:rsidR="00577B41">
        <w:rPr>
          <w:szCs w:val="20"/>
        </w:rPr>
        <w:t>By common understanding, a</w:t>
      </w:r>
      <w:r>
        <w:rPr>
          <w:szCs w:val="20"/>
        </w:rPr>
        <w:t xml:space="preserve">uthorship </w:t>
      </w:r>
      <w:r w:rsidR="00B653BD">
        <w:rPr>
          <w:szCs w:val="20"/>
        </w:rPr>
        <w:t xml:space="preserve">is </w:t>
      </w:r>
      <w:r w:rsidR="00A52A36">
        <w:rPr>
          <w:szCs w:val="20"/>
        </w:rPr>
        <w:t>necessarily fixed at creation</w:t>
      </w:r>
      <w:r w:rsidR="009B3C3F">
        <w:rPr>
          <w:szCs w:val="20"/>
        </w:rPr>
        <w:t>.</w:t>
      </w:r>
      <w:r>
        <w:rPr>
          <w:szCs w:val="20"/>
        </w:rPr>
        <w:t xml:space="preserve"> </w:t>
      </w:r>
      <w:r w:rsidR="0075559B">
        <w:rPr>
          <w:szCs w:val="20"/>
        </w:rPr>
        <w:t>To be clear, the issue here is not who or what entity may be an author, but rather the temporal framework of when that legal category is</w:t>
      </w:r>
      <w:r w:rsidR="0075559B" w:rsidRPr="0075559B">
        <w:rPr>
          <w:szCs w:val="20"/>
        </w:rPr>
        <w:t xml:space="preserve"> </w:t>
      </w:r>
      <w:r w:rsidR="0075559B">
        <w:rPr>
          <w:szCs w:val="20"/>
        </w:rPr>
        <w:t xml:space="preserve">conferred. Furthermore, there are no sections of the Copyright Act that allow parties to legally transfer authorship after creation. </w:t>
      </w:r>
    </w:p>
    <w:p w14:paraId="498BC908" w14:textId="77777777" w:rsidR="00E076DD" w:rsidRDefault="00E076DD" w:rsidP="00E2020D">
      <w:pPr>
        <w:pStyle w:val="BodyTextIndent2"/>
        <w:widowControl w:val="0"/>
        <w:snapToGrid w:val="0"/>
        <w:spacing w:line="480" w:lineRule="auto"/>
        <w:rPr>
          <w:szCs w:val="20"/>
        </w:rPr>
      </w:pPr>
      <w:r>
        <w:rPr>
          <w:szCs w:val="20"/>
        </w:rPr>
        <w:t xml:space="preserve">If the Plaintiff’s construction of the </w:t>
      </w:r>
      <w:r w:rsidR="0069656B">
        <w:rPr>
          <w:szCs w:val="20"/>
        </w:rPr>
        <w:t xml:space="preserve">Copyright Act </w:t>
      </w:r>
      <w:r w:rsidR="009B3C3F">
        <w:rPr>
          <w:szCs w:val="20"/>
        </w:rPr>
        <w:t>were</w:t>
      </w:r>
      <w:r w:rsidR="0069656B">
        <w:rPr>
          <w:szCs w:val="20"/>
        </w:rPr>
        <w:t xml:space="preserve"> accepted, the </w:t>
      </w:r>
      <w:r w:rsidR="00CF7ED4">
        <w:rPr>
          <w:szCs w:val="20"/>
        </w:rPr>
        <w:t>C</w:t>
      </w:r>
      <w:r>
        <w:rPr>
          <w:szCs w:val="20"/>
        </w:rPr>
        <w:t>ourt would have to reinvent</w:t>
      </w:r>
      <w:r w:rsidR="00B653BD">
        <w:rPr>
          <w:szCs w:val="20"/>
        </w:rPr>
        <w:t xml:space="preserve"> </w:t>
      </w:r>
      <w:r w:rsidR="009B3C3F">
        <w:rPr>
          <w:szCs w:val="20"/>
        </w:rPr>
        <w:t xml:space="preserve">conventional and familiar </w:t>
      </w:r>
      <w:r w:rsidR="00CF7ED4">
        <w:rPr>
          <w:szCs w:val="20"/>
        </w:rPr>
        <w:t xml:space="preserve">notions of authorship. There are </w:t>
      </w:r>
      <w:r w:rsidR="00B653BD">
        <w:rPr>
          <w:szCs w:val="20"/>
        </w:rPr>
        <w:t xml:space="preserve">only </w:t>
      </w:r>
      <w:r w:rsidR="00676B6F">
        <w:rPr>
          <w:szCs w:val="20"/>
        </w:rPr>
        <w:t>two possible theoretical foundations</w:t>
      </w:r>
      <w:r w:rsidR="00CF7ED4">
        <w:rPr>
          <w:szCs w:val="20"/>
        </w:rPr>
        <w:t xml:space="preserve"> upon which the Plaintiff may </w:t>
      </w:r>
      <w:r w:rsidR="0075559B">
        <w:rPr>
          <w:szCs w:val="20"/>
        </w:rPr>
        <w:t xml:space="preserve">rest its interpretation the written agreement be signed at any point of time; both of these explanations are </w:t>
      </w:r>
      <w:r w:rsidR="00B653BD">
        <w:rPr>
          <w:szCs w:val="20"/>
        </w:rPr>
        <w:t>deeply flawed</w:t>
      </w:r>
      <w:r w:rsidR="00676B6F">
        <w:rPr>
          <w:szCs w:val="20"/>
        </w:rPr>
        <w:t xml:space="preserve">. First, the Plaintiff could claim that while no such work-made-for-hire agreement originally existed, authorship was transferred upon </w:t>
      </w:r>
      <w:r w:rsidR="00CF7ED4">
        <w:rPr>
          <w:szCs w:val="20"/>
        </w:rPr>
        <w:t>sig</w:t>
      </w:r>
      <w:r w:rsidR="0069656B">
        <w:rPr>
          <w:szCs w:val="20"/>
        </w:rPr>
        <w:t>n</w:t>
      </w:r>
      <w:r w:rsidR="00CF7ED4">
        <w:rPr>
          <w:szCs w:val="20"/>
        </w:rPr>
        <w:t xml:space="preserve">ing </w:t>
      </w:r>
      <w:r w:rsidR="00676B6F">
        <w:rPr>
          <w:szCs w:val="20"/>
        </w:rPr>
        <w:t xml:space="preserve">the written agreement after creation. This stretches conventional conceptions of authorship to the point of absurdity. In no other area can authorship be transferred after the work is </w:t>
      </w:r>
      <w:r w:rsidR="009B3C3F" w:rsidRPr="009B3C3F">
        <w:rPr>
          <w:i/>
          <w:szCs w:val="20"/>
        </w:rPr>
        <w:t>authored</w:t>
      </w:r>
      <w:r w:rsidR="00676B6F">
        <w:rPr>
          <w:szCs w:val="20"/>
        </w:rPr>
        <w:t xml:space="preserve">. Authorship is not </w:t>
      </w:r>
      <w:r w:rsidR="009B3C3F">
        <w:rPr>
          <w:szCs w:val="20"/>
        </w:rPr>
        <w:t xml:space="preserve">personal </w:t>
      </w:r>
      <w:r w:rsidR="00676B6F">
        <w:rPr>
          <w:szCs w:val="20"/>
        </w:rPr>
        <w:t>property and cannot be</w:t>
      </w:r>
      <w:r w:rsidR="00676B6F" w:rsidRPr="00676B6F">
        <w:rPr>
          <w:szCs w:val="20"/>
        </w:rPr>
        <w:t xml:space="preserve"> </w:t>
      </w:r>
      <w:r w:rsidR="00676B6F">
        <w:rPr>
          <w:szCs w:val="20"/>
        </w:rPr>
        <w:t>reassigned within the common or leg</w:t>
      </w:r>
      <w:r w:rsidR="009B3C3F">
        <w:rPr>
          <w:szCs w:val="20"/>
        </w:rPr>
        <w:t>al meaning of authorship. Only c</w:t>
      </w:r>
      <w:r w:rsidR="00676B6F">
        <w:rPr>
          <w:szCs w:val="20"/>
        </w:rPr>
        <w:t xml:space="preserve">opyright </w:t>
      </w:r>
      <w:r w:rsidR="00676B6F" w:rsidRPr="007958A3">
        <w:rPr>
          <w:i/>
          <w:szCs w:val="20"/>
        </w:rPr>
        <w:t>ownership</w:t>
      </w:r>
      <w:r w:rsidR="00676B6F">
        <w:rPr>
          <w:szCs w:val="20"/>
        </w:rPr>
        <w:t xml:space="preserve"> can be transferred. OGS did not attempt, however, to transfer </w:t>
      </w:r>
      <w:r w:rsidR="005949FC">
        <w:rPr>
          <w:szCs w:val="20"/>
        </w:rPr>
        <w:t>ownership;</w:t>
      </w:r>
      <w:r w:rsidR="00676B6F">
        <w:rPr>
          <w:szCs w:val="20"/>
        </w:rPr>
        <w:t xml:space="preserve"> </w:t>
      </w:r>
      <w:r w:rsidR="005949FC">
        <w:rPr>
          <w:szCs w:val="20"/>
        </w:rPr>
        <w:t>instead,</w:t>
      </w:r>
      <w:r w:rsidR="00676B6F">
        <w:rPr>
          <w:szCs w:val="20"/>
        </w:rPr>
        <w:t xml:space="preserve"> </w:t>
      </w:r>
      <w:r w:rsidR="005949FC">
        <w:rPr>
          <w:szCs w:val="20"/>
        </w:rPr>
        <w:t>it</w:t>
      </w:r>
      <w:r w:rsidR="00676B6F">
        <w:rPr>
          <w:szCs w:val="20"/>
        </w:rPr>
        <w:t xml:space="preserve"> </w:t>
      </w:r>
      <w:r w:rsidR="005949FC">
        <w:rPr>
          <w:szCs w:val="20"/>
        </w:rPr>
        <w:t>erroneously attempted</w:t>
      </w:r>
      <w:r w:rsidR="00676B6F">
        <w:rPr>
          <w:szCs w:val="20"/>
        </w:rPr>
        <w:t xml:space="preserve"> to </w:t>
      </w:r>
      <w:r w:rsidR="005949FC">
        <w:rPr>
          <w:szCs w:val="20"/>
        </w:rPr>
        <w:t>transfer</w:t>
      </w:r>
      <w:r w:rsidR="00676B6F">
        <w:rPr>
          <w:szCs w:val="20"/>
        </w:rPr>
        <w:t xml:space="preserve"> authorship of the </w:t>
      </w:r>
      <w:r w:rsidR="005949FC">
        <w:rPr>
          <w:szCs w:val="20"/>
        </w:rPr>
        <w:t>work after the work is created under the work-made-for-hire agreement.</w:t>
      </w:r>
      <w:r w:rsidR="002B0741">
        <w:rPr>
          <w:szCs w:val="20"/>
        </w:rPr>
        <w:t xml:space="preserve"> The Plaintiff rightfully rejects this interpretation. </w:t>
      </w:r>
    </w:p>
    <w:p w14:paraId="12AC259B" w14:textId="77777777" w:rsidR="00807B9F" w:rsidRDefault="005949FC" w:rsidP="00E2020D">
      <w:pPr>
        <w:pStyle w:val="BodyTextIndent2"/>
        <w:widowControl w:val="0"/>
        <w:snapToGrid w:val="0"/>
        <w:spacing w:line="480" w:lineRule="auto"/>
      </w:pPr>
      <w:r>
        <w:rPr>
          <w:szCs w:val="20"/>
        </w:rPr>
        <w:t xml:space="preserve">Alternatively, the Plaintiff may contend that while the work-made-for-hire relationship did not technically exist according to the letter of the law, the Court should </w:t>
      </w:r>
      <w:r w:rsidR="00D524D2">
        <w:rPr>
          <w:szCs w:val="20"/>
        </w:rPr>
        <w:t>find the relationship implied-in-law</w:t>
      </w:r>
      <w:r w:rsidR="00B653BD">
        <w:rPr>
          <w:szCs w:val="20"/>
        </w:rPr>
        <w:t xml:space="preserve"> by virtue of the preceding oral agreement and the </w:t>
      </w:r>
      <w:r w:rsidR="00CF7ED4">
        <w:rPr>
          <w:szCs w:val="20"/>
        </w:rPr>
        <w:t>later signed document</w:t>
      </w:r>
      <w:r w:rsidR="00D524D2">
        <w:rPr>
          <w:szCs w:val="20"/>
        </w:rPr>
        <w:t xml:space="preserve">. </w:t>
      </w:r>
      <w:r w:rsidR="00CF7ED4">
        <w:rPr>
          <w:szCs w:val="20"/>
        </w:rPr>
        <w:t xml:space="preserve">Under </w:t>
      </w:r>
      <w:r w:rsidR="00CF7ED4">
        <w:rPr>
          <w:szCs w:val="20"/>
        </w:rPr>
        <w:lastRenderedPageBreak/>
        <w:t>this theory, t</w:t>
      </w:r>
      <w:r w:rsidR="00B653BD">
        <w:rPr>
          <w:szCs w:val="20"/>
        </w:rPr>
        <w:t xml:space="preserve">he Court is asked to act as if the work-made-for-hire relationship was ongoing even though </w:t>
      </w:r>
      <w:r w:rsidR="00CF7ED4">
        <w:rPr>
          <w:szCs w:val="20"/>
        </w:rPr>
        <w:t>the parties</w:t>
      </w:r>
      <w:r w:rsidR="00B653BD">
        <w:rPr>
          <w:szCs w:val="20"/>
        </w:rPr>
        <w:t xml:space="preserve"> did not satisfy the requirements imposed by law.</w:t>
      </w:r>
      <w:r w:rsidR="0061381F">
        <w:rPr>
          <w:szCs w:val="20"/>
        </w:rPr>
        <w:t xml:space="preserve"> Consequently</w:t>
      </w:r>
      <w:r w:rsidR="00B653BD">
        <w:rPr>
          <w:szCs w:val="20"/>
        </w:rPr>
        <w:t xml:space="preserve">, the Court would need to </w:t>
      </w:r>
      <w:r w:rsidR="0061381F">
        <w:rPr>
          <w:szCs w:val="20"/>
        </w:rPr>
        <w:t>blind itself of the facts and proceed as</w:t>
      </w:r>
      <w:r w:rsidR="00B653BD">
        <w:rPr>
          <w:szCs w:val="20"/>
        </w:rPr>
        <w:t xml:space="preserve"> if the signed document existed upon oral agreement. This</w:t>
      </w:r>
      <w:r w:rsidR="00D524D2">
        <w:rPr>
          <w:szCs w:val="20"/>
        </w:rPr>
        <w:t xml:space="preserve"> is no more than a legal fiction imposed, without merit</w:t>
      </w:r>
      <w:r w:rsidR="00CF7ED4">
        <w:rPr>
          <w:szCs w:val="20"/>
        </w:rPr>
        <w:t xml:space="preserve"> or textual justification</w:t>
      </w:r>
      <w:r w:rsidR="00D524D2">
        <w:rPr>
          <w:szCs w:val="20"/>
        </w:rPr>
        <w:t xml:space="preserve">, on the work-made-for-hire provision in the Copyright Act. It strains credulity that a law whose </w:t>
      </w:r>
      <w:r w:rsidR="001E7F75">
        <w:rPr>
          <w:szCs w:val="20"/>
        </w:rPr>
        <w:t>“paramount”</w:t>
      </w:r>
      <w:r w:rsidR="00D524D2">
        <w:rPr>
          <w:szCs w:val="20"/>
        </w:rPr>
        <w:t xml:space="preserve"> purpose is “</w:t>
      </w:r>
      <w:r w:rsidR="001E7F75">
        <w:rPr>
          <w:szCs w:val="20"/>
        </w:rPr>
        <w:t>enhancing</w:t>
      </w:r>
      <w:r w:rsidR="00D524D2">
        <w:rPr>
          <w:szCs w:val="20"/>
        </w:rPr>
        <w:t xml:space="preserve"> predictability</w:t>
      </w:r>
      <w:r w:rsidR="001E7F75">
        <w:rPr>
          <w:szCs w:val="20"/>
        </w:rPr>
        <w:t xml:space="preserve"> and certainty of copyright ownership</w:t>
      </w:r>
      <w:r w:rsidR="00D524D2">
        <w:rPr>
          <w:szCs w:val="20"/>
        </w:rPr>
        <w:t xml:space="preserve">” would employ a methodology that effectively predates the written instrument as if it had been signed </w:t>
      </w:r>
      <w:r w:rsidR="001E7F75">
        <w:rPr>
          <w:szCs w:val="20"/>
        </w:rPr>
        <w:t>earlier</w:t>
      </w:r>
      <w:r w:rsidR="00D524D2">
        <w:rPr>
          <w:szCs w:val="20"/>
        </w:rPr>
        <w:t xml:space="preserve">. </w:t>
      </w:r>
      <w:proofErr w:type="gramStart"/>
      <w:r w:rsidR="00D524D2">
        <w:rPr>
          <w:i/>
          <w:szCs w:val="20"/>
        </w:rPr>
        <w:t>Community for Creative Non-Violence v. Reid</w:t>
      </w:r>
      <w:r w:rsidR="00D524D2">
        <w:rPr>
          <w:szCs w:val="20"/>
        </w:rPr>
        <w:t>, 490</w:t>
      </w:r>
      <w:r w:rsidR="001E7F75">
        <w:rPr>
          <w:szCs w:val="20"/>
        </w:rPr>
        <w:t xml:space="preserve"> U.S. 730</w:t>
      </w:r>
      <w:r w:rsidR="00D524D2">
        <w:rPr>
          <w:szCs w:val="20"/>
        </w:rPr>
        <w:t xml:space="preserve">, </w:t>
      </w:r>
      <w:r w:rsidR="001E7F75">
        <w:rPr>
          <w:szCs w:val="20"/>
        </w:rPr>
        <w:t>759 (1989).</w:t>
      </w:r>
      <w:proofErr w:type="gramEnd"/>
      <w:r w:rsidR="001E7F75">
        <w:rPr>
          <w:szCs w:val="20"/>
        </w:rPr>
        <w:t xml:space="preserve"> </w:t>
      </w:r>
      <w:r w:rsidR="0061381F">
        <w:rPr>
          <w:szCs w:val="20"/>
        </w:rPr>
        <w:t xml:space="preserve">Predictability cannot be satisfied by such </w:t>
      </w:r>
      <w:proofErr w:type="gramStart"/>
      <w:r w:rsidR="001F1E40">
        <w:rPr>
          <w:szCs w:val="20"/>
        </w:rPr>
        <w:t>chronolog</w:t>
      </w:r>
      <w:r w:rsidR="002B0741">
        <w:rPr>
          <w:szCs w:val="20"/>
        </w:rPr>
        <w:t>ically-</w:t>
      </w:r>
      <w:r w:rsidR="001F1E40">
        <w:rPr>
          <w:szCs w:val="20"/>
        </w:rPr>
        <w:t>bereft</w:t>
      </w:r>
      <w:proofErr w:type="gramEnd"/>
      <w:r w:rsidR="00CF608C">
        <w:rPr>
          <w:szCs w:val="20"/>
        </w:rPr>
        <w:t xml:space="preserve"> </w:t>
      </w:r>
      <w:r w:rsidR="0061381F">
        <w:rPr>
          <w:szCs w:val="20"/>
        </w:rPr>
        <w:t>legal contortionism.</w:t>
      </w:r>
    </w:p>
    <w:p w14:paraId="712B5BC9" w14:textId="77777777" w:rsidR="003448D2" w:rsidRDefault="00807B9F" w:rsidP="00CF7ED4">
      <w:pPr>
        <w:pStyle w:val="BodyTextIndent2"/>
        <w:widowControl w:val="0"/>
        <w:snapToGrid w:val="0"/>
        <w:spacing w:line="480" w:lineRule="auto"/>
      </w:pPr>
      <w:r>
        <w:t>Neith</w:t>
      </w:r>
      <w:r w:rsidR="0078330C">
        <w:t xml:space="preserve">er of </w:t>
      </w:r>
      <w:r w:rsidR="00E24254">
        <w:t>these</w:t>
      </w:r>
      <w:r w:rsidR="0078330C">
        <w:t xml:space="preserve"> two theoretical bases </w:t>
      </w:r>
      <w:r w:rsidR="001F1E40">
        <w:t xml:space="preserve">is </w:t>
      </w:r>
      <w:r w:rsidR="0078330C">
        <w:t xml:space="preserve">sufficiently </w:t>
      </w:r>
      <w:r w:rsidR="001F1E40">
        <w:t xml:space="preserve">sound to </w:t>
      </w:r>
      <w:r w:rsidR="0078330C">
        <w:t xml:space="preserve">support the statutory construction tendered by the Plaintiff. </w:t>
      </w:r>
      <w:r w:rsidR="001F1E40">
        <w:t xml:space="preserve">The Copyright Act, a major foundation of modern commerce, must not be construed so as to wander off onto a foundation of theoretical chaff. </w:t>
      </w:r>
      <w:r w:rsidR="002B0741">
        <w:t>Without ex</w:t>
      </w:r>
      <w:r w:rsidR="0078330C">
        <w:t xml:space="preserve">plicit legislative consent, the Court </w:t>
      </w:r>
      <w:r w:rsidR="001F1E40">
        <w:t>should refrain from imposing exotic legal theories</w:t>
      </w:r>
      <w:r w:rsidR="002B0741">
        <w:t xml:space="preserve"> imposing legal fictions</w:t>
      </w:r>
      <w:r w:rsidR="001F1E40">
        <w:t xml:space="preserve"> onto a law </w:t>
      </w:r>
      <w:r w:rsidR="002B0741">
        <w:t>designed</w:t>
      </w:r>
      <w:r w:rsidR="001F1E40">
        <w:t xml:space="preserve"> to promote predictability. </w:t>
      </w:r>
    </w:p>
    <w:p w14:paraId="276D1BDE" w14:textId="77777777" w:rsidR="001F1E40" w:rsidRPr="00CF7ED4" w:rsidRDefault="001F1E40" w:rsidP="00CF7ED4">
      <w:pPr>
        <w:pStyle w:val="BodyTextIndent2"/>
        <w:widowControl w:val="0"/>
        <w:snapToGrid w:val="0"/>
        <w:spacing w:line="480" w:lineRule="auto"/>
      </w:pPr>
      <w:r>
        <w:t xml:space="preserve">Because only a </w:t>
      </w:r>
      <w:proofErr w:type="gramStart"/>
      <w:r>
        <w:t>construction which requires authorship to be frozen at the time of creation</w:t>
      </w:r>
      <w:proofErr w:type="gramEnd"/>
      <w:r>
        <w:t xml:space="preserve"> is sound, </w:t>
      </w:r>
      <w:r w:rsidR="002B0741">
        <w:t xml:space="preserve">the Copyright Act should be interpreted as requiring a signed written instrument prior to commencement of creation. Consequently, </w:t>
      </w:r>
      <w:r w:rsidR="004B2A7D">
        <w:t xml:space="preserve">the Court should dismiss the Plaintiff’s suit because it has no cognizable copyright claim. </w:t>
      </w:r>
    </w:p>
    <w:p w14:paraId="1FD2D237" w14:textId="77777777" w:rsidR="009807D3" w:rsidRDefault="003448D2" w:rsidP="005C3467">
      <w:pPr>
        <w:pStyle w:val="BodyTextIndent"/>
        <w:keepNext/>
        <w:spacing w:line="240" w:lineRule="auto"/>
        <w:ind w:hanging="720"/>
      </w:pPr>
      <w:r w:rsidRPr="003448D2">
        <w:t xml:space="preserve">III. </w:t>
      </w:r>
      <w:r w:rsidRPr="003448D2">
        <w:tab/>
        <w:t xml:space="preserve">NEITHER THE </w:t>
      </w:r>
      <w:r w:rsidR="0078330C">
        <w:t>PRIOR</w:t>
      </w:r>
      <w:r w:rsidRPr="003448D2">
        <w:t xml:space="preserve"> ORAL AGREEMENT NOR </w:t>
      </w:r>
      <w:r w:rsidR="0078330C">
        <w:t xml:space="preserve">THE POST-CREATION </w:t>
      </w:r>
      <w:r w:rsidRPr="003448D2">
        <w:t xml:space="preserve">WRITTEN DOCUMENT SATISFY </w:t>
      </w:r>
      <w:r w:rsidR="0078330C">
        <w:t xml:space="preserve">THE LEGISLATIVE INTENT </w:t>
      </w:r>
      <w:r w:rsidRPr="003448D2">
        <w:t xml:space="preserve">OF THE WORK-MADE-FOR-HIRE PROVISION </w:t>
      </w:r>
      <w:r w:rsidR="0078330C">
        <w:t>OF THE COPYRIGHT ACT</w:t>
      </w:r>
    </w:p>
    <w:p w14:paraId="75D75527" w14:textId="77777777" w:rsidR="009807D3" w:rsidRPr="003448D2" w:rsidRDefault="009807D3" w:rsidP="005C3467">
      <w:pPr>
        <w:pStyle w:val="BodyTextIndent"/>
        <w:keepNext/>
        <w:spacing w:line="240" w:lineRule="auto"/>
      </w:pPr>
    </w:p>
    <w:p w14:paraId="60EABCD1" w14:textId="77777777" w:rsidR="0078330C" w:rsidRPr="000E6C92" w:rsidRDefault="000C5A47" w:rsidP="005C3467">
      <w:pPr>
        <w:pStyle w:val="ListParagraph"/>
        <w:keepNext/>
        <w:widowControl/>
        <w:numPr>
          <w:ilvl w:val="0"/>
          <w:numId w:val="15"/>
        </w:numPr>
        <w:snapToGrid/>
        <w:rPr>
          <w:szCs w:val="24"/>
          <w:u w:val="single"/>
        </w:rPr>
      </w:pPr>
      <w:r w:rsidRPr="000E6C92">
        <w:rPr>
          <w:szCs w:val="24"/>
          <w:u w:val="single"/>
        </w:rPr>
        <w:t>Predictability, The Paramount Goal Of The Copyright Act, Is Best Served By An Explicit Written Instrument Predating The Creation Of The Work</w:t>
      </w:r>
    </w:p>
    <w:p w14:paraId="285A7D50" w14:textId="77777777" w:rsidR="00C06A74" w:rsidRDefault="00C06A74" w:rsidP="00C06A74">
      <w:pPr>
        <w:pStyle w:val="ListParagraph"/>
        <w:widowControl/>
        <w:snapToGrid/>
        <w:ind w:left="1080"/>
        <w:rPr>
          <w:szCs w:val="24"/>
        </w:rPr>
      </w:pPr>
    </w:p>
    <w:p w14:paraId="3286224E" w14:textId="77777777" w:rsidR="00344A58" w:rsidRDefault="000C5A47" w:rsidP="00E2020D">
      <w:pPr>
        <w:pStyle w:val="ListParagraph"/>
        <w:widowControl/>
        <w:snapToGrid/>
        <w:spacing w:line="480" w:lineRule="auto"/>
        <w:ind w:left="0" w:firstLine="720"/>
        <w:rPr>
          <w:szCs w:val="24"/>
        </w:rPr>
      </w:pPr>
      <w:r>
        <w:rPr>
          <w:szCs w:val="24"/>
        </w:rPr>
        <w:t xml:space="preserve">To the extent that the work-made-for-hire provision is ambiguous, the Court should construe it </w:t>
      </w:r>
      <w:r w:rsidR="00E24254">
        <w:rPr>
          <w:szCs w:val="24"/>
        </w:rPr>
        <w:t>to</w:t>
      </w:r>
      <w:r>
        <w:rPr>
          <w:szCs w:val="24"/>
        </w:rPr>
        <w:t xml:space="preserve"> </w:t>
      </w:r>
      <w:r w:rsidR="00E24254">
        <w:rPr>
          <w:szCs w:val="24"/>
        </w:rPr>
        <w:t>further</w:t>
      </w:r>
      <w:r w:rsidR="00C06A74">
        <w:rPr>
          <w:szCs w:val="24"/>
        </w:rPr>
        <w:t xml:space="preserve"> </w:t>
      </w:r>
      <w:r w:rsidR="00CF7ED4">
        <w:rPr>
          <w:szCs w:val="24"/>
        </w:rPr>
        <w:t>the</w:t>
      </w:r>
      <w:r w:rsidR="00C06A74">
        <w:rPr>
          <w:szCs w:val="24"/>
        </w:rPr>
        <w:t xml:space="preserve"> legislative </w:t>
      </w:r>
      <w:r>
        <w:rPr>
          <w:szCs w:val="24"/>
        </w:rPr>
        <w:t xml:space="preserve">intent. </w:t>
      </w:r>
      <w:r w:rsidR="000E6C92">
        <w:rPr>
          <w:i/>
          <w:szCs w:val="24"/>
        </w:rPr>
        <w:t>See Morgan v. Gay</w:t>
      </w:r>
      <w:r w:rsidR="000E6C92">
        <w:rPr>
          <w:szCs w:val="24"/>
        </w:rPr>
        <w:t>,</w:t>
      </w:r>
      <w:r w:rsidR="001F08AB">
        <w:rPr>
          <w:szCs w:val="24"/>
        </w:rPr>
        <w:t xml:space="preserve"> 466 F.3d 276, 277-</w:t>
      </w:r>
      <w:r w:rsidR="000E6C92">
        <w:rPr>
          <w:szCs w:val="24"/>
        </w:rPr>
        <w:t xml:space="preserve">78 (3d Cir </w:t>
      </w:r>
      <w:r w:rsidR="000E6C92">
        <w:rPr>
          <w:szCs w:val="24"/>
        </w:rPr>
        <w:lastRenderedPageBreak/>
        <w:t xml:space="preserve">2006); </w:t>
      </w:r>
      <w:r w:rsidR="000E6C92">
        <w:rPr>
          <w:i/>
          <w:szCs w:val="24"/>
        </w:rPr>
        <w:t xml:space="preserve">Consumer Product Safety </w:t>
      </w:r>
      <w:proofErr w:type="spellStart"/>
      <w:r w:rsidR="000E6C92">
        <w:rPr>
          <w:i/>
          <w:szCs w:val="24"/>
        </w:rPr>
        <w:t>Comiss’n</w:t>
      </w:r>
      <w:proofErr w:type="spellEnd"/>
      <w:r w:rsidR="000E6C92">
        <w:rPr>
          <w:i/>
          <w:szCs w:val="24"/>
        </w:rPr>
        <w:t xml:space="preserve"> v. GTE Sylvania, Inc.</w:t>
      </w:r>
      <w:r w:rsidR="000E6C92">
        <w:rPr>
          <w:szCs w:val="24"/>
        </w:rPr>
        <w:t>, 447 U.S. 102, 108 (1980).</w:t>
      </w:r>
      <w:r w:rsidR="000E6C92">
        <w:rPr>
          <w:i/>
          <w:szCs w:val="24"/>
        </w:rPr>
        <w:t xml:space="preserve"> </w:t>
      </w:r>
      <w:r w:rsidR="007C113A" w:rsidRPr="000E6C92">
        <w:rPr>
          <w:szCs w:val="24"/>
        </w:rPr>
        <w:t>The</w:t>
      </w:r>
      <w:r w:rsidR="007C113A">
        <w:rPr>
          <w:szCs w:val="24"/>
        </w:rPr>
        <w:t xml:space="preserve"> primary goal of the Copyright Act is to “[enhance] </w:t>
      </w:r>
      <w:r w:rsidR="00344A58">
        <w:rPr>
          <w:szCs w:val="24"/>
        </w:rPr>
        <w:t>predictability</w:t>
      </w:r>
      <w:r w:rsidR="007C113A">
        <w:rPr>
          <w:szCs w:val="24"/>
        </w:rPr>
        <w:t xml:space="preserve"> and certainty of copyright ownership.” </w:t>
      </w:r>
      <w:proofErr w:type="gramStart"/>
      <w:r w:rsidR="000E6C92">
        <w:rPr>
          <w:i/>
          <w:szCs w:val="24"/>
        </w:rPr>
        <w:t>Reid</w:t>
      </w:r>
      <w:r w:rsidR="00103002">
        <w:rPr>
          <w:szCs w:val="24"/>
        </w:rPr>
        <w:t>, 490 U.S.</w:t>
      </w:r>
      <w:r w:rsidR="007C113A">
        <w:rPr>
          <w:szCs w:val="24"/>
        </w:rPr>
        <w:t xml:space="preserve"> at 759.</w:t>
      </w:r>
      <w:proofErr w:type="gramEnd"/>
      <w:r w:rsidR="007C113A">
        <w:rPr>
          <w:szCs w:val="24"/>
        </w:rPr>
        <w:t xml:space="preserve"> </w:t>
      </w:r>
      <w:r w:rsidR="00344A58">
        <w:rPr>
          <w:szCs w:val="24"/>
        </w:rPr>
        <w:t xml:space="preserve">The requirement of the written instrument serves a </w:t>
      </w:r>
      <w:r w:rsidR="00CF7ED4">
        <w:rPr>
          <w:szCs w:val="24"/>
        </w:rPr>
        <w:t>statute</w:t>
      </w:r>
      <w:r w:rsidR="00344A58">
        <w:rPr>
          <w:szCs w:val="24"/>
        </w:rPr>
        <w:t xml:space="preserve"> of frauds function, forces both parties to seriously consider and be explicit about </w:t>
      </w:r>
      <w:r w:rsidR="00BE6A31">
        <w:rPr>
          <w:szCs w:val="24"/>
        </w:rPr>
        <w:t>the terms of the relatio</w:t>
      </w:r>
      <w:r w:rsidR="00CF7ED4">
        <w:rPr>
          <w:szCs w:val="24"/>
        </w:rPr>
        <w:t xml:space="preserve">nship and, most importantly, </w:t>
      </w:r>
      <w:r w:rsidR="00BE6A31">
        <w:rPr>
          <w:szCs w:val="24"/>
        </w:rPr>
        <w:t>provide</w:t>
      </w:r>
      <w:r w:rsidR="00CF7ED4">
        <w:rPr>
          <w:szCs w:val="24"/>
        </w:rPr>
        <w:t>s</w:t>
      </w:r>
      <w:r w:rsidR="00BE6A31">
        <w:rPr>
          <w:szCs w:val="24"/>
        </w:rPr>
        <w:t xml:space="preserve"> a bright-line rule for parties to determine ownership without needing to resort to costly and needless litigation.</w:t>
      </w:r>
    </w:p>
    <w:p w14:paraId="5EDEE5AC" w14:textId="77777777" w:rsidR="00B94FFB" w:rsidRDefault="00616C49" w:rsidP="00E2020D">
      <w:pPr>
        <w:pStyle w:val="ListParagraph"/>
        <w:widowControl/>
        <w:snapToGrid/>
        <w:spacing w:line="480" w:lineRule="auto"/>
        <w:ind w:left="0" w:firstLine="720"/>
        <w:rPr>
          <w:szCs w:val="24"/>
        </w:rPr>
      </w:pPr>
      <w:r>
        <w:rPr>
          <w:szCs w:val="24"/>
        </w:rPr>
        <w:t>Work-made-for-hire w</w:t>
      </w:r>
      <w:r w:rsidR="00C06A74">
        <w:rPr>
          <w:szCs w:val="24"/>
        </w:rPr>
        <w:t>ritten instruments</w:t>
      </w:r>
      <w:r w:rsidR="00E735F0">
        <w:rPr>
          <w:szCs w:val="24"/>
        </w:rPr>
        <w:t xml:space="preserve"> </w:t>
      </w:r>
      <w:r w:rsidR="00B80545">
        <w:rPr>
          <w:szCs w:val="24"/>
        </w:rPr>
        <w:t>have</w:t>
      </w:r>
      <w:r w:rsidR="00E735F0">
        <w:rPr>
          <w:szCs w:val="24"/>
        </w:rPr>
        <w:t xml:space="preserve"> several</w:t>
      </w:r>
      <w:r w:rsidR="00B94FFB">
        <w:rPr>
          <w:szCs w:val="24"/>
        </w:rPr>
        <w:t xml:space="preserve"> </w:t>
      </w:r>
      <w:r w:rsidR="00B80545">
        <w:rPr>
          <w:szCs w:val="24"/>
        </w:rPr>
        <w:t>of the same benefits as the</w:t>
      </w:r>
      <w:r w:rsidR="00E735F0">
        <w:rPr>
          <w:szCs w:val="24"/>
        </w:rPr>
        <w:t xml:space="preserve"> </w:t>
      </w:r>
      <w:r w:rsidR="00B94FFB">
        <w:rPr>
          <w:szCs w:val="24"/>
        </w:rPr>
        <w:t>statute of frauds</w:t>
      </w:r>
      <w:r>
        <w:rPr>
          <w:szCs w:val="24"/>
        </w:rPr>
        <w:t xml:space="preserve"> in contract law</w:t>
      </w:r>
      <w:r w:rsidR="00B94FFB">
        <w:rPr>
          <w:szCs w:val="24"/>
        </w:rPr>
        <w:t xml:space="preserve">. </w:t>
      </w:r>
      <w:r w:rsidR="002B0741">
        <w:rPr>
          <w:szCs w:val="24"/>
        </w:rPr>
        <w:t>First</w:t>
      </w:r>
      <w:r w:rsidR="00DD57BA">
        <w:rPr>
          <w:szCs w:val="24"/>
        </w:rPr>
        <w:t>, t</w:t>
      </w:r>
      <w:r w:rsidR="00CF7ED4">
        <w:rPr>
          <w:szCs w:val="24"/>
        </w:rPr>
        <w:t>he writing e</w:t>
      </w:r>
      <w:r w:rsidR="00E735F0">
        <w:rPr>
          <w:szCs w:val="24"/>
        </w:rPr>
        <w:t>nsures that the parties do not continually move the goalposts of a mutual agreement. In the present case, a post-creation writing was signed at the sam</w:t>
      </w:r>
      <w:r w:rsidR="005123CD">
        <w:rPr>
          <w:szCs w:val="24"/>
        </w:rPr>
        <w:t xml:space="preserve">e time </w:t>
      </w:r>
      <w:r w:rsidR="00CF7ED4">
        <w:rPr>
          <w:szCs w:val="24"/>
        </w:rPr>
        <w:t>Lime received</w:t>
      </w:r>
      <w:r w:rsidR="005123CD">
        <w:rPr>
          <w:szCs w:val="24"/>
        </w:rPr>
        <w:t xml:space="preserve"> payment. </w:t>
      </w:r>
      <w:r w:rsidR="00A60969">
        <w:rPr>
          <w:szCs w:val="24"/>
        </w:rPr>
        <w:t>This type of situation</w:t>
      </w:r>
      <w:r>
        <w:rPr>
          <w:szCs w:val="24"/>
        </w:rPr>
        <w:t>,</w:t>
      </w:r>
      <w:r w:rsidR="005123CD">
        <w:rPr>
          <w:szCs w:val="24"/>
        </w:rPr>
        <w:t xml:space="preserve"> </w:t>
      </w:r>
      <w:r w:rsidR="00A60969">
        <w:rPr>
          <w:szCs w:val="24"/>
        </w:rPr>
        <w:t xml:space="preserve">ripe with </w:t>
      </w:r>
      <w:r>
        <w:rPr>
          <w:szCs w:val="24"/>
        </w:rPr>
        <w:t>the potential for a coerced signature</w:t>
      </w:r>
      <w:r w:rsidR="00A60969">
        <w:rPr>
          <w:szCs w:val="24"/>
        </w:rPr>
        <w:t>,</w:t>
      </w:r>
      <w:r w:rsidR="005123CD">
        <w:rPr>
          <w:szCs w:val="24"/>
        </w:rPr>
        <w:t xml:space="preserve"> must be avoided</w:t>
      </w:r>
      <w:r w:rsidR="00CF7ED4">
        <w:rPr>
          <w:szCs w:val="24"/>
        </w:rPr>
        <w:t xml:space="preserve"> </w:t>
      </w:r>
      <w:r w:rsidR="00CF7ED4" w:rsidRPr="00CF7ED4">
        <w:rPr>
          <w:szCs w:val="24"/>
        </w:rPr>
        <w:t>as a matter of law</w:t>
      </w:r>
      <w:r w:rsidR="005123CD">
        <w:rPr>
          <w:szCs w:val="24"/>
        </w:rPr>
        <w:t>.</w:t>
      </w:r>
      <w:r w:rsidR="00E735F0">
        <w:rPr>
          <w:szCs w:val="24"/>
        </w:rPr>
        <w:t xml:space="preserve"> </w:t>
      </w:r>
      <w:r w:rsidR="00C06A74">
        <w:rPr>
          <w:szCs w:val="24"/>
        </w:rPr>
        <w:t>Additionally</w:t>
      </w:r>
      <w:r w:rsidR="00E735F0">
        <w:rPr>
          <w:szCs w:val="24"/>
        </w:rPr>
        <w:t>, if conflict arise</w:t>
      </w:r>
      <w:r w:rsidR="00A60969">
        <w:rPr>
          <w:szCs w:val="24"/>
        </w:rPr>
        <w:t>s</w:t>
      </w:r>
      <w:r w:rsidR="00E735F0">
        <w:rPr>
          <w:szCs w:val="24"/>
        </w:rPr>
        <w:t xml:space="preserve">, </w:t>
      </w:r>
      <w:r w:rsidR="00C06A74">
        <w:rPr>
          <w:szCs w:val="24"/>
        </w:rPr>
        <w:t xml:space="preserve">the physical </w:t>
      </w:r>
      <w:proofErr w:type="gramStart"/>
      <w:r w:rsidR="00C06A74">
        <w:rPr>
          <w:szCs w:val="24"/>
        </w:rPr>
        <w:t>manifestation of the agreement</w:t>
      </w:r>
      <w:r w:rsidR="00E735F0">
        <w:rPr>
          <w:szCs w:val="24"/>
        </w:rPr>
        <w:t xml:space="preserve"> gives </w:t>
      </w:r>
      <w:r w:rsidR="00C06A74">
        <w:rPr>
          <w:szCs w:val="24"/>
        </w:rPr>
        <w:t>a</w:t>
      </w:r>
      <w:r w:rsidR="00E735F0">
        <w:rPr>
          <w:szCs w:val="24"/>
        </w:rPr>
        <w:t xml:space="preserve"> mediator or court</w:t>
      </w:r>
      <w:proofErr w:type="gramEnd"/>
      <w:r w:rsidR="00E735F0">
        <w:rPr>
          <w:szCs w:val="24"/>
        </w:rPr>
        <w:t xml:space="preserve"> an objective and tangible memorandum of the agreement to refer. </w:t>
      </w:r>
    </w:p>
    <w:p w14:paraId="281DE16F" w14:textId="77777777" w:rsidR="00B94FFB" w:rsidRDefault="0042789E" w:rsidP="00E2020D">
      <w:pPr>
        <w:pStyle w:val="ListParagraph"/>
        <w:widowControl/>
        <w:snapToGrid/>
        <w:spacing w:line="480" w:lineRule="auto"/>
        <w:ind w:left="0" w:firstLine="720"/>
        <w:rPr>
          <w:szCs w:val="24"/>
        </w:rPr>
      </w:pPr>
      <w:r>
        <w:rPr>
          <w:szCs w:val="24"/>
        </w:rPr>
        <w:t xml:space="preserve">The </w:t>
      </w:r>
      <w:r w:rsidR="00CF7ED4">
        <w:rPr>
          <w:szCs w:val="24"/>
        </w:rPr>
        <w:t>legislatu</w:t>
      </w:r>
      <w:r w:rsidR="00344A58">
        <w:rPr>
          <w:szCs w:val="24"/>
        </w:rPr>
        <w:t>r</w:t>
      </w:r>
      <w:r w:rsidR="00CF7ED4">
        <w:rPr>
          <w:szCs w:val="24"/>
        </w:rPr>
        <w:t>e</w:t>
      </w:r>
      <w:r w:rsidR="00344A58">
        <w:rPr>
          <w:szCs w:val="24"/>
        </w:rPr>
        <w:t xml:space="preserve"> intended both parties to </w:t>
      </w:r>
      <w:r w:rsidR="00CF7ED4">
        <w:rPr>
          <w:szCs w:val="24"/>
        </w:rPr>
        <w:t>enter the n</w:t>
      </w:r>
      <w:r w:rsidR="00DB3AEB">
        <w:rPr>
          <w:szCs w:val="24"/>
        </w:rPr>
        <w:t>egotiation “with an expectation that one of them will own the copyright in the completed work. With that expectation, the parties at the outset can se</w:t>
      </w:r>
      <w:r w:rsidR="00CF7ED4">
        <w:rPr>
          <w:szCs w:val="24"/>
        </w:rPr>
        <w:t xml:space="preserve">ttle relevant contractual </w:t>
      </w:r>
      <w:proofErr w:type="gramStart"/>
      <w:r w:rsidR="00CF7ED4">
        <w:rPr>
          <w:szCs w:val="24"/>
        </w:rPr>
        <w:t>terms</w:t>
      </w:r>
      <w:r w:rsidR="00DB3AEB">
        <w:rPr>
          <w:szCs w:val="24"/>
        </w:rPr>
        <w:t>.</w:t>
      </w:r>
      <w:proofErr w:type="gramEnd"/>
      <w:r w:rsidR="00CF7ED4">
        <w:rPr>
          <w:szCs w:val="24"/>
        </w:rPr>
        <w:t xml:space="preserve"> . . .</w:t>
      </w:r>
      <w:r w:rsidR="00DB3AEB">
        <w:rPr>
          <w:szCs w:val="24"/>
        </w:rPr>
        <w:t>”</w:t>
      </w:r>
      <w:r w:rsidR="00CF7ED4">
        <w:rPr>
          <w:szCs w:val="24"/>
        </w:rPr>
        <w:t xml:space="preserve"> </w:t>
      </w:r>
      <w:proofErr w:type="gramStart"/>
      <w:r w:rsidR="00CF7ED4">
        <w:rPr>
          <w:szCs w:val="24"/>
        </w:rPr>
        <w:t>490 U.S. at 759</w:t>
      </w:r>
      <w:r w:rsidR="00DB3AEB">
        <w:rPr>
          <w:szCs w:val="24"/>
        </w:rPr>
        <w:t>.</w:t>
      </w:r>
      <w:proofErr w:type="gramEnd"/>
      <w:r w:rsidR="00DB3AEB">
        <w:rPr>
          <w:szCs w:val="24"/>
        </w:rPr>
        <w:t xml:space="preserve"> (</w:t>
      </w:r>
      <w:proofErr w:type="gramStart"/>
      <w:r w:rsidR="00DB3AEB">
        <w:rPr>
          <w:szCs w:val="24"/>
        </w:rPr>
        <w:t>citations</w:t>
      </w:r>
      <w:proofErr w:type="gramEnd"/>
      <w:r w:rsidR="00DB3AEB">
        <w:rPr>
          <w:szCs w:val="24"/>
        </w:rPr>
        <w:t xml:space="preserve"> omitted). </w:t>
      </w:r>
      <w:r w:rsidR="009807D3">
        <w:rPr>
          <w:szCs w:val="24"/>
        </w:rPr>
        <w:t xml:space="preserve">While certainly an oral agreement </w:t>
      </w:r>
      <w:r w:rsidR="005123CD">
        <w:rPr>
          <w:szCs w:val="24"/>
        </w:rPr>
        <w:t>may</w:t>
      </w:r>
      <w:r w:rsidR="00CF7ED4">
        <w:rPr>
          <w:szCs w:val="24"/>
        </w:rPr>
        <w:t xml:space="preserve"> contain all relevant terms, C</w:t>
      </w:r>
      <w:r w:rsidR="009807D3">
        <w:rPr>
          <w:szCs w:val="24"/>
        </w:rPr>
        <w:t xml:space="preserve">ongress </w:t>
      </w:r>
      <w:r w:rsidR="00CF7ED4">
        <w:rPr>
          <w:szCs w:val="24"/>
        </w:rPr>
        <w:t>determined that greater</w:t>
      </w:r>
      <w:r w:rsidR="00B94FFB">
        <w:rPr>
          <w:szCs w:val="24"/>
        </w:rPr>
        <w:t xml:space="preserve"> predictability and certainty would come from making both parties sign a fixed written docum</w:t>
      </w:r>
      <w:r w:rsidR="008068A7">
        <w:rPr>
          <w:szCs w:val="24"/>
        </w:rPr>
        <w:t xml:space="preserve">ent rather than resort to </w:t>
      </w:r>
      <w:proofErr w:type="spellStart"/>
      <w:r w:rsidR="008068A7">
        <w:rPr>
          <w:szCs w:val="24"/>
        </w:rPr>
        <w:t>parol</w:t>
      </w:r>
      <w:proofErr w:type="spellEnd"/>
      <w:r w:rsidR="00B94FFB">
        <w:rPr>
          <w:szCs w:val="24"/>
        </w:rPr>
        <w:t xml:space="preserve"> evidence of a possibly ill-</w:t>
      </w:r>
      <w:r w:rsidR="005064E7">
        <w:rPr>
          <w:szCs w:val="24"/>
        </w:rPr>
        <w:t>remembered</w:t>
      </w:r>
      <w:r w:rsidR="00B94FFB">
        <w:rPr>
          <w:szCs w:val="24"/>
        </w:rPr>
        <w:t xml:space="preserve"> oral arrangement. </w:t>
      </w:r>
    </w:p>
    <w:p w14:paraId="1D5E3306" w14:textId="77777777" w:rsidR="00E24254" w:rsidRDefault="0096618F" w:rsidP="00C06A74">
      <w:pPr>
        <w:pStyle w:val="ListParagraph"/>
        <w:widowControl/>
        <w:snapToGrid/>
        <w:spacing w:line="480" w:lineRule="auto"/>
        <w:ind w:left="0" w:firstLine="720"/>
        <w:rPr>
          <w:szCs w:val="24"/>
        </w:rPr>
      </w:pPr>
      <w:r>
        <w:rPr>
          <w:szCs w:val="24"/>
        </w:rPr>
        <w:t xml:space="preserve">Allowing oral agreements to be sufficient on a case-by-case basis does not provide parties with certainty as the Plaintiff suggest. Rather, whenever parties enter into an oral agreement, the outcome will be uncertain absent divining what a court ruling on a flexible standard </w:t>
      </w:r>
      <w:r w:rsidR="002B0741">
        <w:rPr>
          <w:szCs w:val="24"/>
        </w:rPr>
        <w:t>would</w:t>
      </w:r>
      <w:r>
        <w:rPr>
          <w:szCs w:val="24"/>
        </w:rPr>
        <w:t xml:space="preserve"> impose.</w:t>
      </w:r>
      <w:r w:rsidR="00B94FFB">
        <w:rPr>
          <w:szCs w:val="24"/>
        </w:rPr>
        <w:t xml:space="preserve"> </w:t>
      </w:r>
      <w:r>
        <w:rPr>
          <w:szCs w:val="24"/>
        </w:rPr>
        <w:t xml:space="preserve">This is neither predictable nor efficient. Further, adopting such a loose </w:t>
      </w:r>
      <w:r>
        <w:rPr>
          <w:szCs w:val="24"/>
        </w:rPr>
        <w:lastRenderedPageBreak/>
        <w:t xml:space="preserve">standard fails to incentivize parties to adopt precise and clear contractual agreements. </w:t>
      </w:r>
      <w:r w:rsidR="005123CD">
        <w:rPr>
          <w:szCs w:val="24"/>
        </w:rPr>
        <w:t>Absent</w:t>
      </w:r>
      <w:r w:rsidR="00B94FFB">
        <w:rPr>
          <w:szCs w:val="24"/>
        </w:rPr>
        <w:t xml:space="preserve"> </w:t>
      </w:r>
      <w:r w:rsidR="005123CD">
        <w:rPr>
          <w:szCs w:val="24"/>
        </w:rPr>
        <w:t>a bright-line rule</w:t>
      </w:r>
      <w:r w:rsidR="008068A7">
        <w:rPr>
          <w:szCs w:val="24"/>
        </w:rPr>
        <w:t xml:space="preserve"> requiring the signed writing prior to the work’s creation</w:t>
      </w:r>
      <w:r w:rsidR="005123CD">
        <w:rPr>
          <w:szCs w:val="24"/>
        </w:rPr>
        <w:t>, conflict becomes more common, litigation becomes the norm, and predictability is at its lowest ebb.</w:t>
      </w:r>
    </w:p>
    <w:p w14:paraId="41D81C89" w14:textId="77777777" w:rsidR="00BB00E8" w:rsidRDefault="00BB00E8" w:rsidP="00C06A74">
      <w:pPr>
        <w:pStyle w:val="ListParagraph"/>
        <w:widowControl/>
        <w:snapToGrid/>
        <w:spacing w:line="480" w:lineRule="auto"/>
        <w:ind w:left="0" w:firstLine="720"/>
        <w:rPr>
          <w:szCs w:val="24"/>
        </w:rPr>
      </w:pPr>
      <w:r>
        <w:rPr>
          <w:szCs w:val="24"/>
        </w:rPr>
        <w:t>Fu</w:t>
      </w:r>
      <w:r w:rsidR="002D7878">
        <w:rPr>
          <w:szCs w:val="24"/>
        </w:rPr>
        <w:t>r</w:t>
      </w:r>
      <w:r>
        <w:rPr>
          <w:szCs w:val="24"/>
        </w:rPr>
        <w:t xml:space="preserve">ther, Plaintiff’s argument that the Court should not constrict parties’ freedom to contract </w:t>
      </w:r>
      <w:r w:rsidR="002D7878">
        <w:rPr>
          <w:szCs w:val="24"/>
        </w:rPr>
        <w:t xml:space="preserve">diverges from </w:t>
      </w:r>
      <w:r>
        <w:rPr>
          <w:szCs w:val="24"/>
        </w:rPr>
        <w:t xml:space="preserve">Congress’s </w:t>
      </w:r>
      <w:r w:rsidR="002D7878">
        <w:rPr>
          <w:szCs w:val="24"/>
        </w:rPr>
        <w:t xml:space="preserve">express will. Regardless of the temporal requirements, Congress made the decision to require a written instrument: this puts a technical burden on parties that </w:t>
      </w:r>
      <w:r w:rsidR="009750F7">
        <w:rPr>
          <w:szCs w:val="24"/>
        </w:rPr>
        <w:t>partially restricts</w:t>
      </w:r>
      <w:r w:rsidR="002D7878">
        <w:rPr>
          <w:szCs w:val="24"/>
        </w:rPr>
        <w:t xml:space="preserve"> their ability to freely contract. The determination was made that the goals of the Copyright Act are better served by restricting freedom of contracting when it provides increased predictability. As such, Congress already made clear that it prioritized predictability over freedom to contract in copyright matters. </w:t>
      </w:r>
    </w:p>
    <w:p w14:paraId="1ACB85D2" w14:textId="77777777" w:rsidR="00561F9F" w:rsidRPr="00C06A74" w:rsidRDefault="00561F9F" w:rsidP="00C06A74">
      <w:pPr>
        <w:pStyle w:val="ListParagraph"/>
        <w:widowControl/>
        <w:snapToGrid/>
        <w:spacing w:line="480" w:lineRule="auto"/>
        <w:ind w:left="0" w:firstLine="720"/>
        <w:rPr>
          <w:szCs w:val="24"/>
        </w:rPr>
      </w:pPr>
      <w:r>
        <w:rPr>
          <w:szCs w:val="24"/>
        </w:rPr>
        <w:t>Pol</w:t>
      </w:r>
      <w:r w:rsidR="009750F7">
        <w:rPr>
          <w:szCs w:val="24"/>
        </w:rPr>
        <w:t>icy considerations require the C</w:t>
      </w:r>
      <w:r>
        <w:rPr>
          <w:szCs w:val="24"/>
        </w:rPr>
        <w:t xml:space="preserve">ourt to adopt a bright-line rule that requires a signed written instrument prior to the creation of the work, and therefore the Motion to Dismiss should be granted. </w:t>
      </w:r>
    </w:p>
    <w:p w14:paraId="0CD978CC" w14:textId="77777777" w:rsidR="008068A7" w:rsidRDefault="00DD57BA" w:rsidP="008068A7">
      <w:pPr>
        <w:pStyle w:val="ListParagraph"/>
        <w:widowControl/>
        <w:numPr>
          <w:ilvl w:val="0"/>
          <w:numId w:val="15"/>
        </w:numPr>
        <w:snapToGrid/>
        <w:rPr>
          <w:szCs w:val="24"/>
          <w:u w:val="single"/>
        </w:rPr>
      </w:pPr>
      <w:r>
        <w:rPr>
          <w:szCs w:val="24"/>
          <w:u w:val="single"/>
        </w:rPr>
        <w:t>The Legislatu</w:t>
      </w:r>
      <w:r w:rsidR="000C5A47" w:rsidRPr="008068A7">
        <w:rPr>
          <w:szCs w:val="24"/>
          <w:u w:val="single"/>
        </w:rPr>
        <w:t>r</w:t>
      </w:r>
      <w:r>
        <w:rPr>
          <w:szCs w:val="24"/>
          <w:u w:val="single"/>
        </w:rPr>
        <w:t>e</w:t>
      </w:r>
      <w:r w:rsidR="000C5A47" w:rsidRPr="008068A7">
        <w:rPr>
          <w:szCs w:val="24"/>
          <w:u w:val="single"/>
        </w:rPr>
        <w:t xml:space="preserve"> Envisioned The Work-Made-For-Hire Agreement Being Initialized By A Signed Written Instrument.</w:t>
      </w:r>
    </w:p>
    <w:p w14:paraId="0DFBE3BC" w14:textId="77777777" w:rsidR="008068A7" w:rsidRPr="008068A7" w:rsidRDefault="008068A7" w:rsidP="008068A7">
      <w:pPr>
        <w:pStyle w:val="ListParagraph"/>
        <w:widowControl/>
        <w:snapToGrid/>
        <w:ind w:left="1080"/>
        <w:rPr>
          <w:szCs w:val="24"/>
          <w:u w:val="single"/>
        </w:rPr>
      </w:pPr>
    </w:p>
    <w:p w14:paraId="135C4A90" w14:textId="77777777" w:rsidR="00C97FAD" w:rsidRDefault="00BF71FB" w:rsidP="00E2020D">
      <w:pPr>
        <w:widowControl/>
        <w:snapToGrid/>
        <w:spacing w:line="480" w:lineRule="auto"/>
        <w:ind w:firstLine="720"/>
        <w:rPr>
          <w:szCs w:val="24"/>
        </w:rPr>
      </w:pPr>
      <w:r>
        <w:rPr>
          <w:szCs w:val="24"/>
        </w:rPr>
        <w:t>The l</w:t>
      </w:r>
      <w:r w:rsidR="00732D37">
        <w:rPr>
          <w:szCs w:val="24"/>
        </w:rPr>
        <w:t>egislative history</w:t>
      </w:r>
      <w:r>
        <w:rPr>
          <w:szCs w:val="24"/>
        </w:rPr>
        <w:t xml:space="preserve"> of the Copyright Act</w:t>
      </w:r>
      <w:r w:rsidR="00732D37">
        <w:rPr>
          <w:szCs w:val="24"/>
        </w:rPr>
        <w:t xml:space="preserve"> </w:t>
      </w:r>
      <w:r>
        <w:rPr>
          <w:szCs w:val="24"/>
        </w:rPr>
        <w:t xml:space="preserve">confirms that </w:t>
      </w:r>
      <w:r w:rsidR="008068A7">
        <w:rPr>
          <w:szCs w:val="24"/>
        </w:rPr>
        <w:t>Congress intended</w:t>
      </w:r>
      <w:r>
        <w:rPr>
          <w:szCs w:val="24"/>
        </w:rPr>
        <w:t xml:space="preserve"> </w:t>
      </w:r>
      <w:r w:rsidR="009534E1">
        <w:rPr>
          <w:szCs w:val="24"/>
        </w:rPr>
        <w:t xml:space="preserve">that </w:t>
      </w:r>
      <w:r>
        <w:rPr>
          <w:szCs w:val="24"/>
        </w:rPr>
        <w:t xml:space="preserve">a </w:t>
      </w:r>
      <w:r w:rsidR="008068A7">
        <w:rPr>
          <w:szCs w:val="24"/>
        </w:rPr>
        <w:t xml:space="preserve">signed </w:t>
      </w:r>
      <w:r>
        <w:rPr>
          <w:szCs w:val="24"/>
        </w:rPr>
        <w:t xml:space="preserve">written instrument </w:t>
      </w:r>
      <w:r w:rsidR="008068A7">
        <w:rPr>
          <w:szCs w:val="24"/>
        </w:rPr>
        <w:t>create</w:t>
      </w:r>
      <w:r w:rsidR="009534E1">
        <w:rPr>
          <w:szCs w:val="24"/>
        </w:rPr>
        <w:t>s</w:t>
      </w:r>
      <w:r>
        <w:rPr>
          <w:szCs w:val="24"/>
        </w:rPr>
        <w:t xml:space="preserve"> a work-made-for-hire relationship</w:t>
      </w:r>
      <w:r w:rsidR="009534E1">
        <w:rPr>
          <w:szCs w:val="24"/>
        </w:rPr>
        <w:t xml:space="preserve"> and no such relationship could exist absent such an instrument initializing it</w:t>
      </w:r>
      <w:r w:rsidR="00C06A74">
        <w:rPr>
          <w:szCs w:val="24"/>
        </w:rPr>
        <w:t xml:space="preserve">. Legislative history also reveals that </w:t>
      </w:r>
      <w:r w:rsidR="008068A7">
        <w:rPr>
          <w:szCs w:val="24"/>
        </w:rPr>
        <w:t xml:space="preserve">the </w:t>
      </w:r>
      <w:r w:rsidR="00C06A74">
        <w:rPr>
          <w:szCs w:val="24"/>
        </w:rPr>
        <w:t xml:space="preserve">work-made-for-hire provision is the result of a narrowly tailored compromise; as such, </w:t>
      </w:r>
      <w:r>
        <w:rPr>
          <w:szCs w:val="24"/>
        </w:rPr>
        <w:t>upon discovery of ambiguity, the statute should be read as narrowly as possible.</w:t>
      </w:r>
    </w:p>
    <w:p w14:paraId="56A530AE" w14:textId="77777777" w:rsidR="006D0F27" w:rsidRDefault="00FB7D08" w:rsidP="00E2020D">
      <w:pPr>
        <w:widowControl/>
        <w:snapToGrid/>
        <w:spacing w:line="480" w:lineRule="auto"/>
        <w:ind w:firstLine="720"/>
        <w:rPr>
          <w:szCs w:val="24"/>
        </w:rPr>
      </w:pPr>
      <w:r>
        <w:rPr>
          <w:szCs w:val="24"/>
        </w:rPr>
        <w:t xml:space="preserve">Before passage of the 1976 Copyright Act, there was extensive congressional debate and discussion. </w:t>
      </w:r>
      <w:r w:rsidR="00A7362D">
        <w:rPr>
          <w:szCs w:val="24"/>
        </w:rPr>
        <w:t xml:space="preserve">After Congress first decided </w:t>
      </w:r>
      <w:r>
        <w:rPr>
          <w:szCs w:val="24"/>
        </w:rPr>
        <w:t>to alter the 1909 Copyright Act in 1955</w:t>
      </w:r>
      <w:r w:rsidR="00FA4877">
        <w:rPr>
          <w:szCs w:val="24"/>
        </w:rPr>
        <w:t xml:space="preserve">, </w:t>
      </w:r>
      <w:r w:rsidR="00A7362D">
        <w:rPr>
          <w:szCs w:val="24"/>
        </w:rPr>
        <w:t xml:space="preserve">the Copyright </w:t>
      </w:r>
      <w:r w:rsidR="009750F7">
        <w:rPr>
          <w:szCs w:val="24"/>
        </w:rPr>
        <w:t xml:space="preserve">Office </w:t>
      </w:r>
      <w:r w:rsidR="00FA4877">
        <w:rPr>
          <w:szCs w:val="24"/>
        </w:rPr>
        <w:t xml:space="preserve">did not submit a </w:t>
      </w:r>
      <w:r w:rsidR="00A7362D">
        <w:rPr>
          <w:szCs w:val="24"/>
        </w:rPr>
        <w:t xml:space="preserve">completed </w:t>
      </w:r>
      <w:r w:rsidR="00FA4877">
        <w:rPr>
          <w:szCs w:val="24"/>
        </w:rPr>
        <w:t xml:space="preserve">proposal for the work-made-for-hire </w:t>
      </w:r>
      <w:r w:rsidR="009750F7">
        <w:rPr>
          <w:szCs w:val="24"/>
        </w:rPr>
        <w:t xml:space="preserve">provision </w:t>
      </w:r>
      <w:r w:rsidR="00FA4877">
        <w:rPr>
          <w:szCs w:val="24"/>
        </w:rPr>
        <w:t xml:space="preserve">until six years later. </w:t>
      </w:r>
      <w:r w:rsidR="00FA4877">
        <w:rPr>
          <w:i/>
          <w:szCs w:val="24"/>
        </w:rPr>
        <w:t xml:space="preserve">See </w:t>
      </w:r>
      <w:r w:rsidR="00FA4877">
        <w:rPr>
          <w:szCs w:val="24"/>
        </w:rPr>
        <w:t xml:space="preserve">Carolyn M. Salzmann, </w:t>
      </w:r>
      <w:r w:rsidR="00FA4877" w:rsidRPr="008068A7">
        <w:rPr>
          <w:i/>
          <w:szCs w:val="24"/>
        </w:rPr>
        <w:t xml:space="preserve">You Commissioned </w:t>
      </w:r>
      <w:r w:rsidR="008068A7" w:rsidRPr="008068A7">
        <w:rPr>
          <w:i/>
          <w:szCs w:val="24"/>
        </w:rPr>
        <w:t xml:space="preserve">It, You Bought It, But Do You Own It? </w:t>
      </w:r>
      <w:r w:rsidR="00FA4877" w:rsidRPr="008068A7">
        <w:rPr>
          <w:i/>
          <w:szCs w:val="24"/>
        </w:rPr>
        <w:t xml:space="preserve">The </w:t>
      </w:r>
      <w:r w:rsidR="008068A7" w:rsidRPr="008068A7">
        <w:rPr>
          <w:i/>
          <w:szCs w:val="24"/>
        </w:rPr>
        <w:lastRenderedPageBreak/>
        <w:t>Work For Hire: Why Is Something So Simple, So Complicated</w:t>
      </w:r>
      <w:proofErr w:type="gramStart"/>
      <w:r w:rsidR="008068A7" w:rsidRPr="008068A7">
        <w:rPr>
          <w:i/>
          <w:szCs w:val="24"/>
        </w:rPr>
        <w:t>?</w:t>
      </w:r>
      <w:r w:rsidR="008068A7" w:rsidRPr="008068A7">
        <w:rPr>
          <w:szCs w:val="24"/>
        </w:rPr>
        <w:t>,</w:t>
      </w:r>
      <w:proofErr w:type="gramEnd"/>
      <w:r w:rsidR="008068A7" w:rsidRPr="008068A7">
        <w:rPr>
          <w:i/>
          <w:szCs w:val="24"/>
        </w:rPr>
        <w:t xml:space="preserve"> </w:t>
      </w:r>
      <w:r w:rsidR="00FA4877">
        <w:rPr>
          <w:szCs w:val="24"/>
        </w:rPr>
        <w:t xml:space="preserve">31 U. </w:t>
      </w:r>
      <w:proofErr w:type="spellStart"/>
      <w:r w:rsidR="00FA4877">
        <w:rPr>
          <w:szCs w:val="24"/>
        </w:rPr>
        <w:t>Tol</w:t>
      </w:r>
      <w:proofErr w:type="spellEnd"/>
      <w:r w:rsidR="00FA4877">
        <w:rPr>
          <w:szCs w:val="24"/>
        </w:rPr>
        <w:t xml:space="preserve">. L. Rev. 497, 513 (2000). </w:t>
      </w:r>
      <w:r w:rsidR="00A7362D">
        <w:rPr>
          <w:szCs w:val="24"/>
        </w:rPr>
        <w:t xml:space="preserve">The act remained in limbo, bitterly fought over by special interests until “the competing interests reached a historic </w:t>
      </w:r>
      <w:proofErr w:type="gramStart"/>
      <w:r w:rsidR="00A7362D">
        <w:rPr>
          <w:szCs w:val="24"/>
        </w:rPr>
        <w:t>compromise</w:t>
      </w:r>
      <w:r w:rsidR="004A5E50">
        <w:rPr>
          <w:szCs w:val="24"/>
        </w:rPr>
        <w:t>.</w:t>
      </w:r>
      <w:proofErr w:type="gramEnd"/>
      <w:r w:rsidR="004A5E50">
        <w:rPr>
          <w:szCs w:val="24"/>
        </w:rPr>
        <w:t xml:space="preserve"> . . . </w:t>
      </w:r>
      <w:proofErr w:type="gramStart"/>
      <w:r w:rsidR="004A5E50">
        <w:rPr>
          <w:szCs w:val="24"/>
        </w:rPr>
        <w:t>incorporated</w:t>
      </w:r>
      <w:proofErr w:type="gramEnd"/>
      <w:r w:rsidR="004A5E50">
        <w:rPr>
          <w:szCs w:val="24"/>
        </w:rPr>
        <w:t xml:space="preserve"> into the 1965 revision bill, and ultimately enacted in the same form.” </w:t>
      </w:r>
      <w:proofErr w:type="gramStart"/>
      <w:r w:rsidR="004A5E50" w:rsidRPr="004A5E50">
        <w:rPr>
          <w:i/>
          <w:szCs w:val="24"/>
        </w:rPr>
        <w:t>Reid</w:t>
      </w:r>
      <w:r w:rsidR="004A5E50" w:rsidRPr="004A5E50">
        <w:rPr>
          <w:szCs w:val="24"/>
        </w:rPr>
        <w:t>, 490 U.S. at 745</w:t>
      </w:r>
      <w:r w:rsidR="004A5E50">
        <w:rPr>
          <w:szCs w:val="24"/>
        </w:rPr>
        <w:t>.</w:t>
      </w:r>
      <w:proofErr w:type="gramEnd"/>
      <w:r w:rsidR="004A5E50">
        <w:rPr>
          <w:szCs w:val="24"/>
        </w:rPr>
        <w:t xml:space="preserve"> </w:t>
      </w:r>
      <w:r w:rsidR="00FA4877" w:rsidRPr="004A5E50">
        <w:rPr>
          <w:szCs w:val="24"/>
        </w:rPr>
        <w:t>The</w:t>
      </w:r>
      <w:r w:rsidR="00FA4877">
        <w:rPr>
          <w:szCs w:val="24"/>
        </w:rPr>
        <w:t xml:space="preserve"> final </w:t>
      </w:r>
      <w:r w:rsidR="006D0F27">
        <w:rPr>
          <w:szCs w:val="24"/>
        </w:rPr>
        <w:t xml:space="preserve">work-made-for-hire </w:t>
      </w:r>
      <w:r w:rsidR="00FA4877">
        <w:rPr>
          <w:szCs w:val="24"/>
        </w:rPr>
        <w:t xml:space="preserve">provision “represent[s] </w:t>
      </w:r>
      <w:r w:rsidR="00230C70">
        <w:rPr>
          <w:szCs w:val="24"/>
        </w:rPr>
        <w:t xml:space="preserve">a carefully balanced </w:t>
      </w:r>
      <w:proofErr w:type="gramStart"/>
      <w:r w:rsidR="00230C70">
        <w:rPr>
          <w:szCs w:val="24"/>
        </w:rPr>
        <w:t>compromise.</w:t>
      </w:r>
      <w:proofErr w:type="gramEnd"/>
      <w:r w:rsidR="00230C70">
        <w:rPr>
          <w:szCs w:val="24"/>
        </w:rPr>
        <w:t xml:space="preserve"> . . </w:t>
      </w:r>
      <w:r w:rsidR="006D0F27">
        <w:rPr>
          <w:szCs w:val="24"/>
        </w:rPr>
        <w:t>.</w:t>
      </w:r>
      <w:r w:rsidR="00FA4877">
        <w:rPr>
          <w:szCs w:val="24"/>
        </w:rPr>
        <w:t>”</w:t>
      </w:r>
      <w:r w:rsidR="006D0F27">
        <w:rPr>
          <w:szCs w:val="24"/>
        </w:rPr>
        <w:t xml:space="preserve"> H.R. Rep. No. 94-1476 at 5736 (1976). As such, the Court should interpret the provisions narrowly </w:t>
      </w:r>
      <w:r w:rsidR="00953569">
        <w:rPr>
          <w:szCs w:val="24"/>
        </w:rPr>
        <w:t>in order to</w:t>
      </w:r>
      <w:r w:rsidR="006D0F27">
        <w:rPr>
          <w:szCs w:val="24"/>
        </w:rPr>
        <w:t xml:space="preserve"> not go beyond the intended compromise. In the present case, this requires the Court to require the written instrument to initialize the relationship rather than to postdate the creation of the work.</w:t>
      </w:r>
    </w:p>
    <w:p w14:paraId="1A497029" w14:textId="77777777" w:rsidR="00BF71FB" w:rsidRDefault="00FB7D08" w:rsidP="00E2020D">
      <w:pPr>
        <w:widowControl/>
        <w:snapToGrid/>
        <w:spacing w:line="480" w:lineRule="auto"/>
        <w:ind w:firstLine="720"/>
        <w:rPr>
          <w:szCs w:val="24"/>
        </w:rPr>
      </w:pPr>
      <w:r>
        <w:rPr>
          <w:szCs w:val="24"/>
        </w:rPr>
        <w:t>Barbara Ringer, who “more than any other single person, is responsible for the content of [the Copyright Act of 1976]</w:t>
      </w:r>
      <w:r w:rsidR="00264DA5">
        <w:rPr>
          <w:szCs w:val="24"/>
        </w:rPr>
        <w:t>,</w:t>
      </w:r>
      <w:r>
        <w:rPr>
          <w:szCs w:val="24"/>
        </w:rPr>
        <w:t>”</w:t>
      </w:r>
      <w:r w:rsidR="00FB71CD">
        <w:rPr>
          <w:szCs w:val="24"/>
        </w:rPr>
        <w:t xml:space="preserve"> may be the clearest lens into congressional intent during the draf</w:t>
      </w:r>
      <w:r w:rsidR="00C82670">
        <w:rPr>
          <w:szCs w:val="24"/>
        </w:rPr>
        <w:t>t</w:t>
      </w:r>
      <w:r w:rsidR="00FB71CD">
        <w:rPr>
          <w:szCs w:val="24"/>
        </w:rPr>
        <w:t xml:space="preserve">ing of the Copyright Act. </w:t>
      </w:r>
      <w:r w:rsidR="00FB71CD">
        <w:rPr>
          <w:i/>
          <w:szCs w:val="24"/>
        </w:rPr>
        <w:t>Hasbro Bradley, Inc. v. Sparkle Toys, Inc.</w:t>
      </w:r>
      <w:r w:rsidR="007553F4">
        <w:rPr>
          <w:szCs w:val="24"/>
        </w:rPr>
        <w:t>, 780 F.2d 189, 195 n.8</w:t>
      </w:r>
      <w:r w:rsidR="00C06A74">
        <w:rPr>
          <w:szCs w:val="24"/>
        </w:rPr>
        <w:t xml:space="preserve"> (2d Cir. 1985) (quoting </w:t>
      </w:r>
      <w:r w:rsidR="00C06A74">
        <w:rPr>
          <w:i/>
          <w:szCs w:val="24"/>
        </w:rPr>
        <w:t xml:space="preserve">1 </w:t>
      </w:r>
      <w:proofErr w:type="spellStart"/>
      <w:r w:rsidR="00C06A74">
        <w:rPr>
          <w:i/>
          <w:szCs w:val="24"/>
        </w:rPr>
        <w:t>Nimmer</w:t>
      </w:r>
      <w:proofErr w:type="spellEnd"/>
      <w:r w:rsidR="00C06A74">
        <w:rPr>
          <w:i/>
          <w:szCs w:val="24"/>
        </w:rPr>
        <w:t xml:space="preserve"> on Copyright </w:t>
      </w:r>
      <w:r w:rsidR="00C06A74">
        <w:rPr>
          <w:szCs w:val="24"/>
        </w:rPr>
        <w:t>at vi (1985))</w:t>
      </w:r>
      <w:r w:rsidR="007553F4">
        <w:rPr>
          <w:szCs w:val="24"/>
        </w:rPr>
        <w:t xml:space="preserve">. Ringer </w:t>
      </w:r>
      <w:r w:rsidR="00264DA5">
        <w:rPr>
          <w:szCs w:val="24"/>
        </w:rPr>
        <w:t xml:space="preserve">explicitly stated during a congressional session that absent a written instrument the work-made-for-hire relationship </w:t>
      </w:r>
      <w:proofErr w:type="gramStart"/>
      <w:r w:rsidR="00264DA5">
        <w:rPr>
          <w:szCs w:val="24"/>
        </w:rPr>
        <w:t>cannot</w:t>
      </w:r>
      <w:proofErr w:type="gramEnd"/>
      <w:r w:rsidR="00264DA5">
        <w:rPr>
          <w:szCs w:val="24"/>
        </w:rPr>
        <w:t xml:space="preserve"> exist: </w:t>
      </w:r>
    </w:p>
    <w:p w14:paraId="0E608C6B" w14:textId="77777777" w:rsidR="00264DA5" w:rsidRDefault="00264DA5" w:rsidP="00953569">
      <w:pPr>
        <w:pStyle w:val="BlockText"/>
      </w:pPr>
      <w:r w:rsidRPr="00264DA5">
        <w:t>[</w:t>
      </w:r>
      <w:proofErr w:type="gramStart"/>
      <w:r w:rsidRPr="00264DA5">
        <w:t>a</w:t>
      </w:r>
      <w:proofErr w:type="gramEnd"/>
      <w:r w:rsidRPr="00264DA5">
        <w:t xml:space="preserve"> work prepared on special order or commission] would not be considered a ‘work made for hire’ if the contract were signed later on — </w:t>
      </w:r>
      <w:r w:rsidRPr="00264DA5">
        <w:rPr>
          <w:i/>
        </w:rPr>
        <w:t>after the work was written, for example</w:t>
      </w:r>
      <w:r w:rsidRPr="00264DA5">
        <w:t>. Moreover, and I think this was the basic reason for our acceptance of this compromise, at least there has to be a specific provision in the contract spelling this out. If the author can b</w:t>
      </w:r>
      <w:r>
        <w:t>e presumed to read his contract…</w:t>
      </w:r>
      <w:r w:rsidRPr="00264DA5">
        <w:t xml:space="preserve"> and take in the consequences of what he’s signing, at least t</w:t>
      </w:r>
      <w:r>
        <w:t>his would be a red flag to him.</w:t>
      </w:r>
    </w:p>
    <w:p w14:paraId="28F7AF34" w14:textId="77777777" w:rsidR="00DD57BA" w:rsidRDefault="00DD57BA" w:rsidP="00953569">
      <w:pPr>
        <w:pStyle w:val="BlockText"/>
      </w:pPr>
    </w:p>
    <w:p w14:paraId="4109188F" w14:textId="77777777" w:rsidR="003C52A1" w:rsidRDefault="00AD39E3" w:rsidP="00E2020D">
      <w:pPr>
        <w:widowControl/>
        <w:snapToGrid/>
        <w:spacing w:line="480" w:lineRule="auto"/>
        <w:rPr>
          <w:szCs w:val="24"/>
        </w:rPr>
      </w:pPr>
      <w:r w:rsidRPr="00AD39E3">
        <w:rPr>
          <w:rStyle w:val="Emphasis"/>
          <w:color w:val="222222"/>
          <w:szCs w:val="24"/>
        </w:rPr>
        <w:t>Copyright Law Revision, Part 5, 1964 Revision Bill with Discussions and Comments</w:t>
      </w:r>
      <w:r w:rsidRPr="00AD39E3">
        <w:rPr>
          <w:color w:val="222222"/>
          <w:szCs w:val="24"/>
        </w:rPr>
        <w:t>, 89th Cong., 145 (Comm. Print 1965)</w:t>
      </w:r>
      <w:r w:rsidR="00264DA5" w:rsidRPr="00AD39E3">
        <w:rPr>
          <w:szCs w:val="24"/>
        </w:rPr>
        <w:t>(emphasis added).</w:t>
      </w:r>
      <w:r w:rsidR="00264DA5">
        <w:rPr>
          <w:szCs w:val="24"/>
        </w:rPr>
        <w:t xml:space="preserve"> Ms. Ringer’s comments make abundantly clear that not only was it </w:t>
      </w:r>
      <w:r w:rsidR="00953569">
        <w:rPr>
          <w:szCs w:val="24"/>
        </w:rPr>
        <w:t>Congress’s</w:t>
      </w:r>
      <w:r w:rsidR="00264DA5">
        <w:rPr>
          <w:szCs w:val="24"/>
        </w:rPr>
        <w:t xml:space="preserve"> intent that the written instrument be signed by both parties before creation but also that this requirement was paramount in reaching a com</w:t>
      </w:r>
      <w:r w:rsidR="00C06A74">
        <w:rPr>
          <w:szCs w:val="24"/>
        </w:rPr>
        <w:t>promise when drafting the law.</w:t>
      </w:r>
      <w:r w:rsidR="00BB4745">
        <w:rPr>
          <w:szCs w:val="24"/>
        </w:rPr>
        <w:t xml:space="preserve"> </w:t>
      </w:r>
      <w:r w:rsidR="00C06A74">
        <w:rPr>
          <w:szCs w:val="24"/>
        </w:rPr>
        <w:t xml:space="preserve"> </w:t>
      </w:r>
    </w:p>
    <w:p w14:paraId="15000868" w14:textId="77777777" w:rsidR="00BB4745" w:rsidRDefault="00BB4745" w:rsidP="00E2020D">
      <w:pPr>
        <w:widowControl/>
        <w:snapToGrid/>
        <w:spacing w:line="480" w:lineRule="auto"/>
        <w:rPr>
          <w:szCs w:val="24"/>
        </w:rPr>
      </w:pPr>
      <w:r>
        <w:rPr>
          <w:szCs w:val="24"/>
        </w:rPr>
        <w:lastRenderedPageBreak/>
        <w:tab/>
        <w:t>The legislative history, then, evidences Congress’s intent and belief that the written instrument be signed prior to the creation of the work. As such, the Plaintiff’s motion should be dismissed for failure to state a cognizable copyright claim.</w:t>
      </w:r>
    </w:p>
    <w:p w14:paraId="3D4F4B2F" w14:textId="77777777" w:rsidR="003C52A1" w:rsidRPr="00953569" w:rsidRDefault="003C52A1" w:rsidP="00BB4745">
      <w:pPr>
        <w:pStyle w:val="ListParagraph"/>
        <w:keepNext/>
        <w:keepLines/>
        <w:widowControl/>
        <w:numPr>
          <w:ilvl w:val="0"/>
          <w:numId w:val="15"/>
        </w:numPr>
        <w:snapToGrid/>
        <w:rPr>
          <w:szCs w:val="24"/>
          <w:u w:val="single"/>
        </w:rPr>
      </w:pPr>
      <w:r w:rsidRPr="00953569">
        <w:rPr>
          <w:szCs w:val="24"/>
          <w:u w:val="single"/>
        </w:rPr>
        <w:t>Any Relief For The Plaintiff Would Be Equitable Relief S</w:t>
      </w:r>
      <w:r w:rsidR="00A15B9F" w:rsidRPr="00953569">
        <w:rPr>
          <w:szCs w:val="24"/>
          <w:u w:val="single"/>
        </w:rPr>
        <w:t>hrouded In a</w:t>
      </w:r>
      <w:r w:rsidRPr="00953569">
        <w:rPr>
          <w:szCs w:val="24"/>
          <w:u w:val="single"/>
        </w:rPr>
        <w:t xml:space="preserve"> Misinterpretation of The Copyright </w:t>
      </w:r>
      <w:proofErr w:type="gramStart"/>
      <w:r w:rsidRPr="00953569">
        <w:rPr>
          <w:szCs w:val="24"/>
          <w:u w:val="single"/>
        </w:rPr>
        <w:t>Act Which</w:t>
      </w:r>
      <w:proofErr w:type="gramEnd"/>
      <w:r w:rsidRPr="00953569">
        <w:rPr>
          <w:szCs w:val="24"/>
          <w:u w:val="single"/>
        </w:rPr>
        <w:t xml:space="preserve"> Should Be Resisted In Order To Satisfy The </w:t>
      </w:r>
      <w:r w:rsidR="00A15B9F" w:rsidRPr="00953569">
        <w:rPr>
          <w:szCs w:val="24"/>
          <w:u w:val="single"/>
        </w:rPr>
        <w:t>Intent o</w:t>
      </w:r>
      <w:r w:rsidRPr="00953569">
        <w:rPr>
          <w:szCs w:val="24"/>
          <w:u w:val="single"/>
        </w:rPr>
        <w:t>f Congress.</w:t>
      </w:r>
      <w:r w:rsidR="00C06A74" w:rsidRPr="00953569">
        <w:rPr>
          <w:szCs w:val="24"/>
          <w:u w:val="single"/>
        </w:rPr>
        <w:br/>
      </w:r>
    </w:p>
    <w:p w14:paraId="260415E7" w14:textId="77777777" w:rsidR="00D2755F" w:rsidRDefault="005C4445" w:rsidP="00E2020D">
      <w:pPr>
        <w:pStyle w:val="Footer"/>
        <w:tabs>
          <w:tab w:val="clear" w:pos="4320"/>
          <w:tab w:val="clear" w:pos="8640"/>
        </w:tabs>
        <w:spacing w:line="480" w:lineRule="auto"/>
        <w:ind w:firstLine="720"/>
        <w:rPr>
          <w:szCs w:val="24"/>
        </w:rPr>
      </w:pPr>
      <w:r>
        <w:rPr>
          <w:szCs w:val="24"/>
        </w:rPr>
        <w:t>The legislature</w:t>
      </w:r>
      <w:r w:rsidR="00C06A74">
        <w:rPr>
          <w:szCs w:val="24"/>
        </w:rPr>
        <w:t xml:space="preserve">’s intention, </w:t>
      </w:r>
      <w:r>
        <w:rPr>
          <w:szCs w:val="24"/>
        </w:rPr>
        <w:t>upon drafting the Copyright Act</w:t>
      </w:r>
      <w:r w:rsidR="00C06A74">
        <w:rPr>
          <w:szCs w:val="24"/>
        </w:rPr>
        <w:t>,</w:t>
      </w:r>
      <w:r>
        <w:rPr>
          <w:szCs w:val="24"/>
        </w:rPr>
        <w:t xml:space="preserve"> was predictability and</w:t>
      </w:r>
      <w:r w:rsidR="00C06A74">
        <w:rPr>
          <w:szCs w:val="24"/>
        </w:rPr>
        <w:t xml:space="preserve"> to create</w:t>
      </w:r>
      <w:r>
        <w:rPr>
          <w:szCs w:val="24"/>
        </w:rPr>
        <w:t xml:space="preserve"> a bright-line rule </w:t>
      </w:r>
      <w:r w:rsidR="00D2755F">
        <w:rPr>
          <w:szCs w:val="24"/>
        </w:rPr>
        <w:t>requiring</w:t>
      </w:r>
      <w:r>
        <w:rPr>
          <w:szCs w:val="24"/>
        </w:rPr>
        <w:t xml:space="preserve"> a written instrument </w:t>
      </w:r>
      <w:r w:rsidR="00D2755F">
        <w:rPr>
          <w:szCs w:val="24"/>
        </w:rPr>
        <w:t xml:space="preserve">to initialize the relationship. Without a contemporaneous written agreement, the Copyright Act can </w:t>
      </w:r>
      <w:r w:rsidR="00953569">
        <w:rPr>
          <w:szCs w:val="24"/>
        </w:rPr>
        <w:t>provide no legal relief to the P</w:t>
      </w:r>
      <w:r w:rsidR="00D2755F">
        <w:rPr>
          <w:szCs w:val="24"/>
        </w:rPr>
        <w:t>laintiff and does not support any cognizable claim.</w:t>
      </w:r>
    </w:p>
    <w:p w14:paraId="05C911DE" w14:textId="77777777" w:rsidR="00264DA5" w:rsidRDefault="00D2755F" w:rsidP="00BB4745">
      <w:pPr>
        <w:pStyle w:val="Footer"/>
        <w:tabs>
          <w:tab w:val="clear" w:pos="4320"/>
          <w:tab w:val="clear" w:pos="8640"/>
        </w:tabs>
        <w:spacing w:line="480" w:lineRule="auto"/>
        <w:ind w:firstLine="720"/>
        <w:rPr>
          <w:szCs w:val="24"/>
        </w:rPr>
      </w:pPr>
      <w:r>
        <w:rPr>
          <w:szCs w:val="24"/>
        </w:rPr>
        <w:t xml:space="preserve">Even if the Court views the required result as </w:t>
      </w:r>
      <w:r w:rsidR="00FA641C">
        <w:rPr>
          <w:szCs w:val="24"/>
        </w:rPr>
        <w:t>inequitable</w:t>
      </w:r>
      <w:r>
        <w:rPr>
          <w:szCs w:val="24"/>
        </w:rPr>
        <w:t xml:space="preserve">, the Court should be especially wary of straying from the law as conceived </w:t>
      </w:r>
      <w:r w:rsidR="009750F7">
        <w:rPr>
          <w:szCs w:val="24"/>
        </w:rPr>
        <w:t xml:space="preserve">and as it is written </w:t>
      </w:r>
      <w:r>
        <w:rPr>
          <w:szCs w:val="24"/>
        </w:rPr>
        <w:t>in order to provide some for</w:t>
      </w:r>
      <w:r w:rsidR="00BB4745">
        <w:rPr>
          <w:szCs w:val="24"/>
        </w:rPr>
        <w:t xml:space="preserve">m of relief to the Plaintiff. </w:t>
      </w:r>
      <w:r>
        <w:rPr>
          <w:szCs w:val="24"/>
        </w:rPr>
        <w:t xml:space="preserve">The Copyright Act </w:t>
      </w:r>
      <w:r w:rsidR="00103002">
        <w:rPr>
          <w:szCs w:val="24"/>
        </w:rPr>
        <w:t xml:space="preserve">was neither </w:t>
      </w:r>
      <w:r>
        <w:rPr>
          <w:szCs w:val="24"/>
        </w:rPr>
        <w:t xml:space="preserve">created nor </w:t>
      </w:r>
      <w:proofErr w:type="gramStart"/>
      <w:r>
        <w:rPr>
          <w:szCs w:val="24"/>
        </w:rPr>
        <w:t>well-suited</w:t>
      </w:r>
      <w:proofErr w:type="gramEnd"/>
      <w:r>
        <w:rPr>
          <w:szCs w:val="24"/>
        </w:rPr>
        <w:t xml:space="preserve"> </w:t>
      </w:r>
      <w:r w:rsidR="00BB4745">
        <w:rPr>
          <w:szCs w:val="24"/>
        </w:rPr>
        <w:t xml:space="preserve">for </w:t>
      </w:r>
      <w:r>
        <w:rPr>
          <w:szCs w:val="24"/>
        </w:rPr>
        <w:t>such an equity analysis. Copyright law is fundamentally</w:t>
      </w:r>
      <w:r w:rsidR="004B263C">
        <w:rPr>
          <w:szCs w:val="24"/>
        </w:rPr>
        <w:t xml:space="preserve"> one</w:t>
      </w:r>
      <w:r>
        <w:rPr>
          <w:szCs w:val="24"/>
        </w:rPr>
        <w:t xml:space="preserve"> of legal formality. </w:t>
      </w:r>
      <w:r w:rsidR="004B263C">
        <w:rPr>
          <w:i/>
          <w:szCs w:val="24"/>
        </w:rPr>
        <w:t xml:space="preserve">See generally </w:t>
      </w:r>
      <w:r w:rsidR="004B263C">
        <w:rPr>
          <w:szCs w:val="24"/>
        </w:rPr>
        <w:t xml:space="preserve">Jane C. Ginsberg, </w:t>
      </w:r>
      <w:r w:rsidR="00DA2957" w:rsidRPr="00953569">
        <w:rPr>
          <w:i/>
          <w:szCs w:val="24"/>
        </w:rPr>
        <w:t>The U.S. Experience W</w:t>
      </w:r>
      <w:r w:rsidR="004B263C" w:rsidRPr="00953569">
        <w:rPr>
          <w:i/>
          <w:szCs w:val="24"/>
        </w:rPr>
        <w:t>ith Mandatory Copyright Formalities: A Love/Hate Relationship</w:t>
      </w:r>
      <w:r w:rsidR="004B263C">
        <w:rPr>
          <w:szCs w:val="24"/>
        </w:rPr>
        <w:t xml:space="preserve">, </w:t>
      </w:r>
      <w:proofErr w:type="gramStart"/>
      <w:r w:rsidR="004B263C">
        <w:rPr>
          <w:szCs w:val="24"/>
        </w:rPr>
        <w:t>33</w:t>
      </w:r>
      <w:proofErr w:type="gramEnd"/>
      <w:r w:rsidR="004B263C">
        <w:rPr>
          <w:szCs w:val="24"/>
        </w:rPr>
        <w:t xml:space="preserve"> Colum. J. L. &amp; Arts 311 (2010)</w:t>
      </w:r>
      <w:r w:rsidR="00DA2957">
        <w:rPr>
          <w:szCs w:val="24"/>
        </w:rPr>
        <w:t xml:space="preserve"> (discussing the history, benefits, and drawbacks of formalities in the evolution of copyright law)</w:t>
      </w:r>
      <w:r w:rsidR="004B263C" w:rsidRPr="004B263C">
        <w:rPr>
          <w:szCs w:val="24"/>
        </w:rPr>
        <w:t xml:space="preserve">. </w:t>
      </w:r>
      <w:r w:rsidR="00DA2957">
        <w:rPr>
          <w:szCs w:val="24"/>
        </w:rPr>
        <w:t xml:space="preserve">Attempting to shoehorn a functionalist analysis into the Copyright Act would necessarily be contrary to </w:t>
      </w:r>
      <w:r w:rsidR="00924817">
        <w:rPr>
          <w:szCs w:val="24"/>
        </w:rPr>
        <w:t>legislative</w:t>
      </w:r>
      <w:r w:rsidR="00DA2957">
        <w:rPr>
          <w:szCs w:val="24"/>
        </w:rPr>
        <w:t xml:space="preserve"> intent.</w:t>
      </w:r>
      <w:r w:rsidR="00924817">
        <w:rPr>
          <w:szCs w:val="24"/>
        </w:rPr>
        <w:t xml:space="preserve"> The Copyright Act cannot achieve </w:t>
      </w:r>
      <w:r w:rsidR="00EE111B">
        <w:rPr>
          <w:szCs w:val="24"/>
        </w:rPr>
        <w:t>the goal of</w:t>
      </w:r>
      <w:r w:rsidR="00924817">
        <w:rPr>
          <w:szCs w:val="24"/>
        </w:rPr>
        <w:t xml:space="preserve"> predictability through formalism if cour</w:t>
      </w:r>
      <w:r w:rsidR="00EE111B">
        <w:rPr>
          <w:szCs w:val="24"/>
        </w:rPr>
        <w:t>ts ch</w:t>
      </w:r>
      <w:r w:rsidR="009750F7">
        <w:rPr>
          <w:szCs w:val="24"/>
        </w:rPr>
        <w:t xml:space="preserve">oose to wave </w:t>
      </w:r>
      <w:r w:rsidR="00EE111B">
        <w:rPr>
          <w:szCs w:val="24"/>
        </w:rPr>
        <w:t xml:space="preserve">the legal requirements </w:t>
      </w:r>
      <w:r w:rsidR="009750F7">
        <w:rPr>
          <w:szCs w:val="24"/>
        </w:rPr>
        <w:t>and abandon</w:t>
      </w:r>
      <w:r w:rsidR="00920BA3">
        <w:rPr>
          <w:szCs w:val="24"/>
        </w:rPr>
        <w:t xml:space="preserve"> uniform enforcement.</w:t>
      </w:r>
    </w:p>
    <w:p w14:paraId="0DBF280D" w14:textId="77777777" w:rsidR="00BB4745" w:rsidRDefault="009750F7" w:rsidP="00BB4745">
      <w:pPr>
        <w:pStyle w:val="Footer"/>
        <w:tabs>
          <w:tab w:val="clear" w:pos="4320"/>
          <w:tab w:val="clear" w:pos="8640"/>
        </w:tabs>
        <w:spacing w:line="480" w:lineRule="auto"/>
        <w:ind w:firstLine="720"/>
        <w:rPr>
          <w:szCs w:val="24"/>
        </w:rPr>
      </w:pPr>
      <w:r>
        <w:rPr>
          <w:szCs w:val="24"/>
        </w:rPr>
        <w:t>Because copyright law is rooted in legal formalism, the court must refrain from balancing equities on a case-by-case basis. Therefore, t</w:t>
      </w:r>
      <w:r w:rsidR="00BB4745">
        <w:rPr>
          <w:szCs w:val="24"/>
        </w:rPr>
        <w:t xml:space="preserve">he Court should </w:t>
      </w:r>
      <w:r>
        <w:rPr>
          <w:szCs w:val="24"/>
        </w:rPr>
        <w:t>enforce</w:t>
      </w:r>
      <w:r w:rsidR="00BB4745">
        <w:rPr>
          <w:szCs w:val="24"/>
        </w:rPr>
        <w:t xml:space="preserve"> the plain language of the law requiring that a preceding oral agreement is not sufficient to create a work-made-for-hire agreement </w:t>
      </w:r>
      <w:r>
        <w:rPr>
          <w:szCs w:val="24"/>
        </w:rPr>
        <w:t xml:space="preserve">uniformly </w:t>
      </w:r>
      <w:r w:rsidR="00BB4745">
        <w:rPr>
          <w:szCs w:val="24"/>
        </w:rPr>
        <w:t>and, therefore, dismiss the Plaintiff’s claim.</w:t>
      </w:r>
    </w:p>
    <w:p w14:paraId="79702940" w14:textId="77777777" w:rsidR="00264DA5" w:rsidRDefault="003E08AD" w:rsidP="009750F7">
      <w:pPr>
        <w:keepNext/>
        <w:keepLines/>
        <w:widowControl/>
        <w:snapToGrid/>
        <w:ind w:left="720" w:hanging="720"/>
        <w:rPr>
          <w:b/>
          <w:szCs w:val="24"/>
        </w:rPr>
      </w:pPr>
      <w:r w:rsidRPr="00955998">
        <w:rPr>
          <w:b/>
          <w:szCs w:val="24"/>
        </w:rPr>
        <w:lastRenderedPageBreak/>
        <w:t xml:space="preserve">IV. </w:t>
      </w:r>
      <w:r w:rsidR="009750F7">
        <w:rPr>
          <w:b/>
          <w:szCs w:val="24"/>
        </w:rPr>
        <w:tab/>
      </w:r>
      <w:r w:rsidR="00955998" w:rsidRPr="00955998">
        <w:rPr>
          <w:b/>
          <w:szCs w:val="24"/>
        </w:rPr>
        <w:t xml:space="preserve">PERSUASIVE </w:t>
      </w:r>
      <w:r w:rsidR="00A455B4">
        <w:rPr>
          <w:b/>
          <w:szCs w:val="24"/>
        </w:rPr>
        <w:t>PRECEDENT</w:t>
      </w:r>
      <w:r w:rsidR="00A455B4" w:rsidRPr="00955998">
        <w:rPr>
          <w:b/>
          <w:szCs w:val="24"/>
        </w:rPr>
        <w:t xml:space="preserve"> </w:t>
      </w:r>
      <w:r w:rsidR="00955998" w:rsidRPr="00955998">
        <w:rPr>
          <w:b/>
          <w:szCs w:val="24"/>
        </w:rPr>
        <w:t xml:space="preserve">ENCOURAGES THE COURT TO </w:t>
      </w:r>
      <w:r w:rsidR="00955998">
        <w:rPr>
          <w:b/>
          <w:szCs w:val="24"/>
        </w:rPr>
        <w:t xml:space="preserve">REQUIRE THE SIGNED WRITTEN </w:t>
      </w:r>
      <w:proofErr w:type="gramStart"/>
      <w:r w:rsidR="00955998">
        <w:rPr>
          <w:b/>
          <w:szCs w:val="24"/>
        </w:rPr>
        <w:t xml:space="preserve">AGREEMENT </w:t>
      </w:r>
      <w:r w:rsidR="00955998" w:rsidRPr="00955998">
        <w:rPr>
          <w:b/>
          <w:szCs w:val="24"/>
        </w:rPr>
        <w:t xml:space="preserve"> </w:t>
      </w:r>
      <w:r w:rsidR="00955998">
        <w:rPr>
          <w:b/>
          <w:szCs w:val="24"/>
        </w:rPr>
        <w:t>IN</w:t>
      </w:r>
      <w:proofErr w:type="gramEnd"/>
      <w:r w:rsidR="00955998">
        <w:rPr>
          <w:b/>
          <w:szCs w:val="24"/>
        </w:rPr>
        <w:t xml:space="preserve"> ORDER TO INITIALIZE THE WORK-MADE-FOR-HIRE RELATIONSHIP</w:t>
      </w:r>
    </w:p>
    <w:p w14:paraId="5EEB74BC" w14:textId="77777777" w:rsidR="00103002" w:rsidRDefault="00103002" w:rsidP="00955998">
      <w:pPr>
        <w:widowControl/>
        <w:snapToGrid/>
        <w:rPr>
          <w:b/>
          <w:szCs w:val="24"/>
        </w:rPr>
      </w:pPr>
    </w:p>
    <w:p w14:paraId="09EA2D23" w14:textId="77777777" w:rsidR="00920BA3" w:rsidRDefault="00920BA3" w:rsidP="00EE7089">
      <w:pPr>
        <w:spacing w:line="480" w:lineRule="auto"/>
      </w:pPr>
      <w:r>
        <w:rPr>
          <w:b/>
          <w:szCs w:val="24"/>
        </w:rPr>
        <w:tab/>
      </w:r>
      <w:r w:rsidR="00A455B4">
        <w:t>While</w:t>
      </w:r>
      <w:r w:rsidR="009750F7" w:rsidRPr="00920BA3">
        <w:t xml:space="preserve"> </w:t>
      </w:r>
      <w:r w:rsidRPr="00920BA3">
        <w:t xml:space="preserve">the </w:t>
      </w:r>
      <w:r w:rsidR="00103002">
        <w:t>Second and Sevent</w:t>
      </w:r>
      <w:r w:rsidR="00953569">
        <w:t>h</w:t>
      </w:r>
      <w:r w:rsidRPr="00920BA3">
        <w:t xml:space="preserve"> Circuits are split on the </w:t>
      </w:r>
      <w:r>
        <w:t>temporal requirement of the written agreement</w:t>
      </w:r>
      <w:r w:rsidRPr="00920BA3">
        <w:t xml:space="preserve">, the issue is one of first impression in Moot. </w:t>
      </w:r>
      <w:r w:rsidR="00953569">
        <w:rPr>
          <w:i/>
        </w:rPr>
        <w:t>See</w:t>
      </w:r>
      <w:r w:rsidRPr="00920BA3">
        <w:rPr>
          <w:i/>
        </w:rPr>
        <w:t xml:space="preserve"> Playboy Enters</w:t>
      </w:r>
      <w:proofErr w:type="gramStart"/>
      <w:r w:rsidRPr="00920BA3">
        <w:rPr>
          <w:i/>
        </w:rPr>
        <w:t>.,</w:t>
      </w:r>
      <w:proofErr w:type="gramEnd"/>
      <w:r w:rsidRPr="00920BA3">
        <w:rPr>
          <w:i/>
        </w:rPr>
        <w:t xml:space="preserve"> </w:t>
      </w:r>
      <w:proofErr w:type="spellStart"/>
      <w:r w:rsidRPr="00920BA3">
        <w:rPr>
          <w:i/>
        </w:rPr>
        <w:t>Inc</w:t>
      </w:r>
      <w:proofErr w:type="spellEnd"/>
      <w:r w:rsidRPr="00920BA3">
        <w:rPr>
          <w:i/>
        </w:rPr>
        <w:t xml:space="preserve"> v. Dumas</w:t>
      </w:r>
      <w:r w:rsidRPr="00920BA3">
        <w:t>, 53 F.3d 549 (2d Cir. 1995)</w:t>
      </w:r>
      <w:r w:rsidR="00953569">
        <w:t xml:space="preserve">; </w:t>
      </w:r>
      <w:r w:rsidRPr="00920BA3">
        <w:rPr>
          <w:i/>
        </w:rPr>
        <w:t xml:space="preserve">Schiller &amp; Schmidt, Inc. v. </w:t>
      </w:r>
      <w:proofErr w:type="spellStart"/>
      <w:r w:rsidRPr="00920BA3">
        <w:rPr>
          <w:i/>
        </w:rPr>
        <w:t>Nordisco</w:t>
      </w:r>
      <w:proofErr w:type="spellEnd"/>
      <w:r w:rsidRPr="00920BA3">
        <w:rPr>
          <w:i/>
        </w:rPr>
        <w:t xml:space="preserve"> Corp.</w:t>
      </w:r>
      <w:r w:rsidRPr="00920BA3">
        <w:t xml:space="preserve">, 969 F.2d 410 (7th Cir. 1992). </w:t>
      </w:r>
    </w:p>
    <w:p w14:paraId="77D24D36" w14:textId="77777777" w:rsidR="00955998" w:rsidRDefault="00920BA3" w:rsidP="00EE7089">
      <w:pPr>
        <w:spacing w:line="480" w:lineRule="auto"/>
      </w:pPr>
      <w:r>
        <w:tab/>
        <w:t xml:space="preserve">In </w:t>
      </w:r>
      <w:r>
        <w:rPr>
          <w:i/>
        </w:rPr>
        <w:t xml:space="preserve">Playboy, </w:t>
      </w:r>
      <w:r w:rsidR="00FF3D40">
        <w:t xml:space="preserve">the </w:t>
      </w:r>
      <w:r w:rsidR="001E1970">
        <w:t>Second C</w:t>
      </w:r>
      <w:r w:rsidR="00FF3D40">
        <w:t xml:space="preserve">ircuit </w:t>
      </w:r>
      <w:r w:rsidR="00E749A1">
        <w:t>agreed</w:t>
      </w:r>
      <w:r w:rsidR="00FF3D40">
        <w:t xml:space="preserve"> </w:t>
      </w:r>
      <w:r w:rsidR="00E749A1">
        <w:t xml:space="preserve">that </w:t>
      </w:r>
      <w:r w:rsidR="00FF3D40">
        <w:t>“congress’s goal of ‘predictability’ would be thwarted if [the parties] could enter into a work-for-hire agreement years a</w:t>
      </w:r>
      <w:r w:rsidR="00A455B4">
        <w:t xml:space="preserve">fter a work was created.” </w:t>
      </w:r>
      <w:proofErr w:type="gramStart"/>
      <w:r w:rsidR="00A455B4">
        <w:t>53 F.3</w:t>
      </w:r>
      <w:r w:rsidR="00FF3D40">
        <w:t>d at 559.</w:t>
      </w:r>
      <w:proofErr w:type="gramEnd"/>
      <w:r w:rsidR="00FF3D40">
        <w:t xml:space="preserve"> Furthermore, it recognizes that “the writing requirement… make[s] the ownership of intellectual property rights clear and definite.” </w:t>
      </w:r>
      <w:r w:rsidR="00FF3D40">
        <w:rPr>
          <w:i/>
        </w:rPr>
        <w:t>Id.</w:t>
      </w:r>
      <w:r w:rsidR="00FF3D40">
        <w:t xml:space="preserve"> However, the </w:t>
      </w:r>
      <w:r w:rsidR="00953569">
        <w:t>Court decided</w:t>
      </w:r>
      <w:r w:rsidR="001E1970">
        <w:t xml:space="preserve"> that in some instances the writing requirement could “frustrate the intent of the parties, and cloud rather than serve the goal of certainty.”</w:t>
      </w:r>
      <w:r w:rsidR="001E1970">
        <w:rPr>
          <w:i/>
        </w:rPr>
        <w:t xml:space="preserve"> Id.</w:t>
      </w:r>
      <w:r w:rsidR="001E1970">
        <w:t xml:space="preserve"> </w:t>
      </w:r>
      <w:r w:rsidR="00E749A1">
        <w:t xml:space="preserve">The Court considers the situation where parties have the mutual understanding that they are in a work-made-for-hire relationship but fail to meet the technical requirements set forth in the Copyright Act. </w:t>
      </w:r>
      <w:r w:rsidR="00A455B4">
        <w:t xml:space="preserve">It concludes that it would be unfair to impose the technical requirements when it went against the parties’ intentions. </w:t>
      </w:r>
      <w:r w:rsidR="00E749A1">
        <w:t>However, this argument also supports the conclusion that no written instrument is ever required</w:t>
      </w:r>
      <w:r w:rsidR="00A455B4">
        <w:t>, even though</w:t>
      </w:r>
      <w:r w:rsidR="00E749A1">
        <w:t xml:space="preserve"> </w:t>
      </w:r>
      <w:r w:rsidR="00A455B4">
        <w:t xml:space="preserve">this conclusion </w:t>
      </w:r>
      <w:r w:rsidR="00E749A1">
        <w:t xml:space="preserve">is </w:t>
      </w:r>
      <w:r w:rsidR="00E749A1">
        <w:rPr>
          <w:i/>
        </w:rPr>
        <w:t>expressly</w:t>
      </w:r>
      <w:r w:rsidR="00E749A1">
        <w:t xml:space="preserve"> contradictory to the statute as written. </w:t>
      </w:r>
      <w:r w:rsidR="00953569">
        <w:t xml:space="preserve">Congress </w:t>
      </w:r>
      <w:r w:rsidR="001959EF">
        <w:t>understood</w:t>
      </w:r>
      <w:r w:rsidR="00E749A1">
        <w:t xml:space="preserve"> that adding technical requirements takes away some judicial discretion. It must be assumed that the legislature pr</w:t>
      </w:r>
      <w:r w:rsidR="00A455B4">
        <w:t>operly weighed the costs and benefits</w:t>
      </w:r>
      <w:r w:rsidR="00E749A1">
        <w:t xml:space="preserve"> of requiring a written </w:t>
      </w:r>
      <w:r w:rsidR="001C410F">
        <w:t>agreement</w:t>
      </w:r>
      <w:r w:rsidR="00E749A1">
        <w:t>. The Second Circuit’s argument does little more than substitute its opinion for express legislative intent.</w:t>
      </w:r>
    </w:p>
    <w:p w14:paraId="59E904FB" w14:textId="77777777" w:rsidR="00BB4745" w:rsidRPr="00613AE9" w:rsidRDefault="00BB4745" w:rsidP="00EE7089">
      <w:pPr>
        <w:spacing w:line="480" w:lineRule="auto"/>
      </w:pPr>
      <w:r>
        <w:tab/>
      </w:r>
      <w:r w:rsidR="00613AE9">
        <w:t>Furthermore</w:t>
      </w:r>
      <w:r>
        <w:t xml:space="preserve">, it should be noted that even </w:t>
      </w:r>
      <w:r>
        <w:rPr>
          <w:i/>
        </w:rPr>
        <w:t>Playboy</w:t>
      </w:r>
      <w:r>
        <w:t xml:space="preserve"> does not take as extreme a view as the Plaintiff. The Plaintiff contends that the plain language of the statute requires nothing but </w:t>
      </w:r>
      <w:r w:rsidR="00613AE9">
        <w:t xml:space="preserve">a signed instrument at </w:t>
      </w:r>
      <w:r w:rsidR="00A455B4">
        <w:t>any point in time even if no oral agreement exists</w:t>
      </w:r>
      <w:r w:rsidR="00613AE9">
        <w:t xml:space="preserve">. </w:t>
      </w:r>
      <w:r w:rsidR="00613AE9">
        <w:rPr>
          <w:i/>
        </w:rPr>
        <w:t>Playboy</w:t>
      </w:r>
      <w:r w:rsidR="00613AE9">
        <w:t xml:space="preserve"> on the other </w:t>
      </w:r>
      <w:r w:rsidR="00613AE9">
        <w:lastRenderedPageBreak/>
        <w:t xml:space="preserve">hand at least requires that the signed instrument relate back to some prior oral agreement. To do this, the </w:t>
      </w:r>
      <w:r w:rsidR="00A455B4">
        <w:t>Second</w:t>
      </w:r>
      <w:r w:rsidR="00613AE9">
        <w:t xml:space="preserve"> Circuit reject</w:t>
      </w:r>
      <w:r w:rsidR="00A455B4">
        <w:t>s</w:t>
      </w:r>
      <w:r w:rsidR="00613AE9">
        <w:t xml:space="preserve"> the Plaintiff’s plain reading</w:t>
      </w:r>
      <w:r w:rsidR="00A455B4">
        <w:t xml:space="preserve"> and reads into the statute that it must have been the intent of the parties’ to enter into a work-made-for-hire relationship. </w:t>
      </w:r>
      <w:r w:rsidR="00613AE9">
        <w:t>.</w:t>
      </w:r>
    </w:p>
    <w:p w14:paraId="5B70EE78" w14:textId="77777777" w:rsidR="00E749A1" w:rsidRDefault="00E749A1" w:rsidP="00EE7089">
      <w:pPr>
        <w:spacing w:line="480" w:lineRule="auto"/>
      </w:pPr>
      <w:r>
        <w:tab/>
      </w:r>
      <w:r w:rsidR="00257E97">
        <w:t xml:space="preserve">Alternatively, in the Seventh District, Judge Posner identifies that the written requirement </w:t>
      </w:r>
      <w:r w:rsidR="00FE0CA3">
        <w:t xml:space="preserve">serves two critical functions: statute of frauds and “to make the ownership of property rights in intellectual property clear and definite.” </w:t>
      </w:r>
      <w:r w:rsidR="00FE0CA3">
        <w:rPr>
          <w:i/>
        </w:rPr>
        <w:t>Schiller &amp; Schmidt, Inc.</w:t>
      </w:r>
      <w:r w:rsidR="00FE0CA3">
        <w:t>,</w:t>
      </w:r>
      <w:r w:rsidR="00FE0CA3">
        <w:rPr>
          <w:i/>
        </w:rPr>
        <w:t xml:space="preserve"> </w:t>
      </w:r>
      <w:r w:rsidR="00FE0CA3">
        <w:t>969 F.2d at 412. In order to best server this purpose, “the writing must precede the creation of the property in order to serve its purpose of identifying the (</w:t>
      </w:r>
      <w:proofErr w:type="spellStart"/>
      <w:r w:rsidR="00FE0CA3">
        <w:t>noncreator</w:t>
      </w:r>
      <w:proofErr w:type="spellEnd"/>
      <w:r w:rsidR="00FE0CA3">
        <w:t xml:space="preserve">) owner unequivocally.” </w:t>
      </w:r>
      <w:r w:rsidR="00FE0CA3">
        <w:rPr>
          <w:i/>
        </w:rPr>
        <w:t>Id.</w:t>
      </w:r>
      <w:r w:rsidR="00FE0CA3">
        <w:t xml:space="preserve"> While this case involves a time period of years between creation and signing the agreement, this does nothing to alter </w:t>
      </w:r>
      <w:r w:rsidR="00103002">
        <w:t xml:space="preserve">or discredit </w:t>
      </w:r>
      <w:r w:rsidR="00FE0CA3">
        <w:t xml:space="preserve">Posner’s argument. </w:t>
      </w:r>
    </w:p>
    <w:p w14:paraId="167950E8" w14:textId="77777777" w:rsidR="00613AE9" w:rsidRPr="00613AE9" w:rsidRDefault="00FE0CA3" w:rsidP="00103002">
      <w:pPr>
        <w:spacing w:line="480" w:lineRule="auto"/>
      </w:pPr>
      <w:r>
        <w:tab/>
      </w:r>
      <w:r w:rsidR="00D80250">
        <w:t xml:space="preserve">With circuits split, the Court must look </w:t>
      </w:r>
      <w:r w:rsidR="007B64DC">
        <w:t xml:space="preserve">to which case makes the more persuasive argument. The Second Circuit </w:t>
      </w:r>
      <w:r w:rsidR="00A455B4">
        <w:t xml:space="preserve">explicitly </w:t>
      </w:r>
      <w:r w:rsidR="007B64DC">
        <w:t xml:space="preserve">accepts all of the Seventh’s circuit logic, but then offers a faulty argument that it believes trumps. </w:t>
      </w:r>
      <w:r w:rsidR="00A455B4">
        <w:rPr>
          <w:i/>
        </w:rPr>
        <w:t xml:space="preserve">See </w:t>
      </w:r>
      <w:r w:rsidR="00A455B4" w:rsidRPr="00A455B4">
        <w:t>53 F.3d at</w:t>
      </w:r>
      <w:r w:rsidR="00A455B4" w:rsidRPr="00A455B4">
        <w:rPr>
          <w:i/>
        </w:rPr>
        <w:t xml:space="preserve"> </w:t>
      </w:r>
      <w:r w:rsidR="00A455B4" w:rsidRPr="00A455B4">
        <w:t>559</w:t>
      </w:r>
      <w:r w:rsidR="00A455B4">
        <w:t xml:space="preserve">. </w:t>
      </w:r>
      <w:r w:rsidR="007B64DC" w:rsidRPr="00A455B4">
        <w:t>However</w:t>
      </w:r>
      <w:r w:rsidR="007B64DC">
        <w:t xml:space="preserve">, because the Second Circuit’s </w:t>
      </w:r>
      <w:r w:rsidR="00A455B4">
        <w:t xml:space="preserve">final </w:t>
      </w:r>
      <w:r w:rsidR="007B64DC">
        <w:t xml:space="preserve">reasoning is fatally flawed </w:t>
      </w:r>
      <w:r w:rsidR="00103002">
        <w:t>as</w:t>
      </w:r>
      <w:r w:rsidR="007B64DC">
        <w:t xml:space="preserve"> far as it is in express friction with the language of the statute, this Court should adopt the Seventh Circuit’s conclusion.</w:t>
      </w:r>
      <w:r w:rsidR="00613AE9">
        <w:t xml:space="preserve"> Doing so requires the Court to grant the Defendants’ Motion to Dismiss on grounds that the Plaintiff has no copyright ownership in the disputed material.</w:t>
      </w:r>
    </w:p>
    <w:p w14:paraId="4721898E" w14:textId="77777777" w:rsidR="00E2020D" w:rsidRPr="003448D2" w:rsidRDefault="00E2020D" w:rsidP="00953569">
      <w:pPr>
        <w:pStyle w:val="Heading3"/>
      </w:pPr>
      <w:r w:rsidRPr="003448D2">
        <w:t>CONCLUSION</w:t>
      </w:r>
    </w:p>
    <w:p w14:paraId="6CA6EC0B" w14:textId="77777777" w:rsidR="00E2020D" w:rsidRDefault="00EE7089" w:rsidP="00322C7D">
      <w:pPr>
        <w:pStyle w:val="BodyTextIndent2"/>
        <w:spacing w:line="480" w:lineRule="auto"/>
      </w:pPr>
      <w:r>
        <w:t>In order to be consistent with legislative intent, put the work-made-for-hire provision on sound theoretical framework</w:t>
      </w:r>
      <w:r w:rsidR="00613AE9">
        <w:t>,</w:t>
      </w:r>
      <w:r>
        <w:t xml:space="preserve"> and to avoid creating redundancy in the Copyright Act, the Court should conclude that the required written instrument be signed prior </w:t>
      </w:r>
      <w:r w:rsidR="00322C7D">
        <w:t xml:space="preserve">to the creation of the work. </w:t>
      </w:r>
      <w:r w:rsidR="00103002">
        <w:t xml:space="preserve">Predictability, congress “paramount goal… of enhancing predictability and certainty in copyright ownership” requires uniform enforcement of legal formalities. </w:t>
      </w:r>
      <w:proofErr w:type="gramStart"/>
      <w:r w:rsidR="00103002">
        <w:rPr>
          <w:i/>
        </w:rPr>
        <w:t>Community for Creative Non-</w:t>
      </w:r>
      <w:r w:rsidR="00103002">
        <w:rPr>
          <w:i/>
        </w:rPr>
        <w:lastRenderedPageBreak/>
        <w:t>Violence</w:t>
      </w:r>
      <w:r w:rsidR="00103002">
        <w:t>, 490 U.S.</w:t>
      </w:r>
      <w:r w:rsidR="00103002">
        <w:rPr>
          <w:i/>
        </w:rPr>
        <w:t xml:space="preserve"> </w:t>
      </w:r>
      <w:r w:rsidR="00103002">
        <w:t>at 749.</w:t>
      </w:r>
      <w:proofErr w:type="gramEnd"/>
      <w:r w:rsidR="00103002">
        <w:t xml:space="preserve"> </w:t>
      </w:r>
      <w:r w:rsidR="00322C7D">
        <w:t xml:space="preserve">Because OGS and Lime did not sign a written agreement before Lime authored the contested work, </w:t>
      </w:r>
      <w:r w:rsidR="00A455B4">
        <w:t>Lime remains the author indefinitely</w:t>
      </w:r>
      <w:r w:rsidR="00322C7D">
        <w:t xml:space="preserve">. </w:t>
      </w:r>
      <w:r w:rsidR="00A455B4">
        <w:t xml:space="preserve">OGS, failing to show </w:t>
      </w:r>
      <w:r w:rsidR="00507520">
        <w:t xml:space="preserve">that it owns any relevant copyright, cannot make a claim under the Copyright Act. </w:t>
      </w:r>
      <w:r w:rsidR="00322C7D">
        <w:t xml:space="preserve">Thus, the Court must dismiss the complaint pursuant to Fed. R. Civ. P. 12(b)(6). </w:t>
      </w:r>
    </w:p>
    <w:p w14:paraId="5ABA4B92" w14:textId="77777777" w:rsidR="00B657C8" w:rsidRDefault="00B657C8" w:rsidP="00322C7D">
      <w:pPr>
        <w:pStyle w:val="BodyTextIndent2"/>
        <w:spacing w:line="480" w:lineRule="auto"/>
      </w:pPr>
    </w:p>
    <w:p w14:paraId="37F1F755" w14:textId="77777777" w:rsidR="00B657C8" w:rsidRDefault="00B657C8" w:rsidP="00322C7D">
      <w:pPr>
        <w:pStyle w:val="BodyTextIndent2"/>
        <w:spacing w:line="480" w:lineRule="auto"/>
      </w:pPr>
    </w:p>
    <w:p w14:paraId="58AA42CE" w14:textId="77777777" w:rsidR="00215904" w:rsidRDefault="00FA641C" w:rsidP="00103002">
      <w:pPr>
        <w:keepNext/>
        <w:jc w:val="both"/>
      </w:pPr>
      <w:r>
        <w:t>Dated:  March 22</w:t>
      </w:r>
      <w:r w:rsidR="00215904">
        <w:t>, 2012</w:t>
      </w:r>
      <w:r w:rsidR="00215904">
        <w:tab/>
      </w:r>
      <w:r w:rsidR="00215904">
        <w:tab/>
      </w:r>
      <w:r w:rsidR="00215904">
        <w:tab/>
      </w:r>
      <w:r w:rsidR="00215904">
        <w:tab/>
      </w:r>
      <w:r w:rsidR="00215904">
        <w:tab/>
      </w:r>
      <w:proofErr w:type="gramStart"/>
      <w:r w:rsidR="00215904">
        <w:t>Respectfully</w:t>
      </w:r>
      <w:proofErr w:type="gramEnd"/>
      <w:r w:rsidR="00215904">
        <w:t xml:space="preserve"> submitted,</w:t>
      </w:r>
    </w:p>
    <w:p w14:paraId="16D1CB41" w14:textId="77777777" w:rsidR="00215904" w:rsidRDefault="005C3467" w:rsidP="008202F3">
      <w:pPr>
        <w:keepNext/>
        <w:jc w:val="both"/>
      </w:pPr>
      <w:r>
        <w:tab/>
      </w:r>
      <w:r>
        <w:tab/>
      </w:r>
      <w:r>
        <w:tab/>
      </w:r>
      <w:r>
        <w:tab/>
      </w:r>
      <w:r>
        <w:tab/>
      </w:r>
      <w:r>
        <w:tab/>
      </w:r>
      <w:r>
        <w:tab/>
      </w:r>
      <w:r>
        <w:tab/>
      </w:r>
      <w:r w:rsidR="008202F3">
        <w:t>&lt;redacted&gt;&lt;/redacted&gt;</w:t>
      </w:r>
      <w:bookmarkStart w:id="0" w:name="_GoBack"/>
      <w:bookmarkEnd w:id="0"/>
    </w:p>
    <w:p w14:paraId="096F3E1B" w14:textId="77777777" w:rsidR="00215904" w:rsidRDefault="00215904" w:rsidP="00103002">
      <w:pPr>
        <w:keepNext/>
        <w:jc w:val="both"/>
      </w:pPr>
    </w:p>
    <w:p w14:paraId="0BAE3BD9" w14:textId="77777777" w:rsidR="00215904" w:rsidRDefault="00215904" w:rsidP="00103002">
      <w:pPr>
        <w:keepNext/>
        <w:jc w:val="both"/>
      </w:pPr>
      <w:r>
        <w:tab/>
      </w:r>
      <w:r>
        <w:tab/>
      </w:r>
      <w:r>
        <w:tab/>
      </w:r>
      <w:r>
        <w:tab/>
      </w:r>
      <w:r>
        <w:tab/>
      </w:r>
      <w:r>
        <w:tab/>
      </w:r>
      <w:r>
        <w:tab/>
      </w:r>
      <w:r>
        <w:tab/>
        <w:t>ATTORNEY FOR PLAINTIFF</w:t>
      </w:r>
    </w:p>
    <w:p w14:paraId="363AA37D" w14:textId="77777777" w:rsidR="00215904" w:rsidRDefault="00215904" w:rsidP="00103002">
      <w:pPr>
        <w:keepNext/>
        <w:jc w:val="both"/>
      </w:pPr>
      <w:r>
        <w:tab/>
      </w:r>
      <w:r>
        <w:tab/>
      </w:r>
      <w:r>
        <w:tab/>
      </w:r>
      <w:r>
        <w:tab/>
      </w:r>
      <w:r>
        <w:tab/>
      </w:r>
      <w:r>
        <w:tab/>
      </w:r>
      <w:r>
        <w:tab/>
      </w:r>
      <w:r>
        <w:tab/>
        <w:t xml:space="preserve">ELIZABETH LIME AND </w:t>
      </w:r>
    </w:p>
    <w:p w14:paraId="029EB9F9" w14:textId="77777777" w:rsidR="00215904" w:rsidRDefault="00215904" w:rsidP="00103002">
      <w:pPr>
        <w:keepNext/>
        <w:ind w:left="5040" w:firstLine="720"/>
        <w:jc w:val="both"/>
      </w:pPr>
      <w:r>
        <w:t>TINYTV, INC.</w:t>
      </w:r>
    </w:p>
    <w:p w14:paraId="1E51247B" w14:textId="77777777" w:rsidR="00215904" w:rsidRDefault="00215904" w:rsidP="00103002">
      <w:pPr>
        <w:pStyle w:val="BodyTextIndent2"/>
        <w:keepNext/>
        <w:spacing w:line="480" w:lineRule="auto"/>
      </w:pPr>
    </w:p>
    <w:sectPr w:rsidR="00215904">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460310" w14:textId="77777777" w:rsidR="00D04E77" w:rsidRDefault="00D04E77" w:rsidP="00D357A8">
      <w:r>
        <w:separator/>
      </w:r>
    </w:p>
  </w:endnote>
  <w:endnote w:type="continuationSeparator" w:id="0">
    <w:p w14:paraId="7008E693" w14:textId="77777777" w:rsidR="00D04E77" w:rsidRDefault="00D04E77" w:rsidP="00D35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003655"/>
      <w:docPartObj>
        <w:docPartGallery w:val="Page Numbers (Bottom of Page)"/>
        <w:docPartUnique/>
      </w:docPartObj>
    </w:sdtPr>
    <w:sdtEndPr>
      <w:rPr>
        <w:noProof/>
      </w:rPr>
    </w:sdtEndPr>
    <w:sdtContent>
      <w:p w14:paraId="70015581" w14:textId="77777777" w:rsidR="00AD39E3" w:rsidRDefault="00AD39E3">
        <w:pPr>
          <w:pStyle w:val="Footer"/>
          <w:jc w:val="right"/>
        </w:pPr>
        <w:r>
          <w:fldChar w:fldCharType="begin"/>
        </w:r>
        <w:r>
          <w:instrText xml:space="preserve"> PAGE   \* MERGEFORMAT </w:instrText>
        </w:r>
        <w:r>
          <w:fldChar w:fldCharType="separate"/>
        </w:r>
        <w:r w:rsidR="008202F3">
          <w:rPr>
            <w:noProof/>
          </w:rPr>
          <w:t>14</w:t>
        </w:r>
        <w:r>
          <w:rPr>
            <w:noProof/>
          </w:rPr>
          <w:fldChar w:fldCharType="end"/>
        </w:r>
      </w:p>
    </w:sdtContent>
  </w:sdt>
  <w:p w14:paraId="7E3A34F0" w14:textId="77777777" w:rsidR="00AD39E3" w:rsidRDefault="00AD39E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13DCE" w14:textId="77777777" w:rsidR="00D04E77" w:rsidRDefault="00D04E77" w:rsidP="00D357A8">
      <w:r>
        <w:separator/>
      </w:r>
    </w:p>
  </w:footnote>
  <w:footnote w:type="continuationSeparator" w:id="0">
    <w:p w14:paraId="024C0137" w14:textId="77777777" w:rsidR="00D04E77" w:rsidRDefault="00D04E77" w:rsidP="00D357A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5893B" w14:textId="77777777" w:rsidR="00AD39E3" w:rsidRDefault="00AD39E3" w:rsidP="0014264E">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044B"/>
    <w:multiLevelType w:val="hybridMultilevel"/>
    <w:tmpl w:val="D7E4E06A"/>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6364087"/>
    <w:multiLevelType w:val="hybridMultilevel"/>
    <w:tmpl w:val="53A8D3B6"/>
    <w:lvl w:ilvl="0" w:tplc="28383E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F2B7EED"/>
    <w:multiLevelType w:val="hybridMultilevel"/>
    <w:tmpl w:val="58507BEC"/>
    <w:lvl w:ilvl="0" w:tplc="FC7E15D2">
      <w:numFmt w:val="bullet"/>
      <w:lvlText w:val="-"/>
      <w:lvlJc w:val="left"/>
      <w:pPr>
        <w:ind w:left="1800" w:hanging="360"/>
      </w:pPr>
      <w:rPr>
        <w:rFonts w:ascii="Times New Roman" w:eastAsia="Times New Roman" w:hAnsi="Times New Roman" w:cs="Times New Roman" w:hint="default"/>
        <w:b/>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F52584"/>
    <w:multiLevelType w:val="hybridMultilevel"/>
    <w:tmpl w:val="53A8D3B6"/>
    <w:lvl w:ilvl="0" w:tplc="28383E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B383552"/>
    <w:multiLevelType w:val="hybridMultilevel"/>
    <w:tmpl w:val="760C183E"/>
    <w:lvl w:ilvl="0" w:tplc="FC7E15D2">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2540660"/>
    <w:multiLevelType w:val="hybridMultilevel"/>
    <w:tmpl w:val="6DF49DB8"/>
    <w:lvl w:ilvl="0" w:tplc="FC7E15D2">
      <w:numFmt w:val="bullet"/>
      <w:lvlText w:val="-"/>
      <w:lvlJc w:val="left"/>
      <w:pPr>
        <w:ind w:left="180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2E16A18"/>
    <w:multiLevelType w:val="hybridMultilevel"/>
    <w:tmpl w:val="0A445046"/>
    <w:lvl w:ilvl="0" w:tplc="FC7E15D2">
      <w:numFmt w:val="bullet"/>
      <w:lvlText w:val="-"/>
      <w:lvlJc w:val="left"/>
      <w:pPr>
        <w:ind w:left="1800" w:hanging="360"/>
      </w:pPr>
      <w:rPr>
        <w:rFonts w:ascii="Times New Roman" w:eastAsia="Times New Roman" w:hAnsi="Times New Roman" w:cs="Times New Roman" w:hint="default"/>
        <w:b/>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4246323"/>
    <w:multiLevelType w:val="hybridMultilevel"/>
    <w:tmpl w:val="47A286A4"/>
    <w:lvl w:ilvl="0" w:tplc="577EE2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511B93"/>
    <w:multiLevelType w:val="hybridMultilevel"/>
    <w:tmpl w:val="9454F0F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633441D"/>
    <w:multiLevelType w:val="hybridMultilevel"/>
    <w:tmpl w:val="9F6432CA"/>
    <w:lvl w:ilvl="0" w:tplc="728020C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86A4946"/>
    <w:multiLevelType w:val="hybridMultilevel"/>
    <w:tmpl w:val="C5CA6B5E"/>
    <w:lvl w:ilvl="0" w:tplc="4B3818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C040AE1"/>
    <w:multiLevelType w:val="hybridMultilevel"/>
    <w:tmpl w:val="0758F702"/>
    <w:lvl w:ilvl="0" w:tplc="7558436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609468B5"/>
    <w:multiLevelType w:val="hybridMultilevel"/>
    <w:tmpl w:val="9A345116"/>
    <w:lvl w:ilvl="0" w:tplc="307669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6F91A36"/>
    <w:multiLevelType w:val="hybridMultilevel"/>
    <w:tmpl w:val="7F3206B6"/>
    <w:lvl w:ilvl="0" w:tplc="FC7E15D2">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AE23A8F"/>
    <w:multiLevelType w:val="hybridMultilevel"/>
    <w:tmpl w:val="8A161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FA6077"/>
    <w:multiLevelType w:val="hybridMultilevel"/>
    <w:tmpl w:val="985EDFCC"/>
    <w:lvl w:ilvl="0" w:tplc="FC7E15D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4"/>
  </w:num>
  <w:num w:numId="4">
    <w:abstractNumId w:val="13"/>
  </w:num>
  <w:num w:numId="5">
    <w:abstractNumId w:val="5"/>
  </w:num>
  <w:num w:numId="6">
    <w:abstractNumId w:val="6"/>
  </w:num>
  <w:num w:numId="7">
    <w:abstractNumId w:val="2"/>
  </w:num>
  <w:num w:numId="8">
    <w:abstractNumId w:val="0"/>
  </w:num>
  <w:num w:numId="9">
    <w:abstractNumId w:val="8"/>
  </w:num>
  <w:num w:numId="10">
    <w:abstractNumId w:val="15"/>
  </w:num>
  <w:num w:numId="11">
    <w:abstractNumId w:val="10"/>
  </w:num>
  <w:num w:numId="12">
    <w:abstractNumId w:val="12"/>
  </w:num>
  <w:num w:numId="13">
    <w:abstractNumId w:val="1"/>
  </w:num>
  <w:num w:numId="14">
    <w:abstractNumId w:val="11"/>
  </w:num>
  <w:num w:numId="15">
    <w:abstractNumId w:val="9"/>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6D9"/>
    <w:rsid w:val="000215B9"/>
    <w:rsid w:val="000313D0"/>
    <w:rsid w:val="00042D46"/>
    <w:rsid w:val="000750F8"/>
    <w:rsid w:val="000B41B4"/>
    <w:rsid w:val="000C5A47"/>
    <w:rsid w:val="000C7552"/>
    <w:rsid w:val="000D1866"/>
    <w:rsid w:val="000E4295"/>
    <w:rsid w:val="000E6C92"/>
    <w:rsid w:val="000F441D"/>
    <w:rsid w:val="00103002"/>
    <w:rsid w:val="00140BDE"/>
    <w:rsid w:val="0014264E"/>
    <w:rsid w:val="0014639D"/>
    <w:rsid w:val="00172259"/>
    <w:rsid w:val="001755CB"/>
    <w:rsid w:val="00185294"/>
    <w:rsid w:val="0019093E"/>
    <w:rsid w:val="0019486C"/>
    <w:rsid w:val="001959EF"/>
    <w:rsid w:val="001C410F"/>
    <w:rsid w:val="001D4AE4"/>
    <w:rsid w:val="001E1970"/>
    <w:rsid w:val="001E7F75"/>
    <w:rsid w:val="001F08AB"/>
    <w:rsid w:val="001F1E40"/>
    <w:rsid w:val="001F7433"/>
    <w:rsid w:val="001F7E06"/>
    <w:rsid w:val="00214BCA"/>
    <w:rsid w:val="00215904"/>
    <w:rsid w:val="0022455A"/>
    <w:rsid w:val="00230C70"/>
    <w:rsid w:val="00233F53"/>
    <w:rsid w:val="00252BC2"/>
    <w:rsid w:val="00257E97"/>
    <w:rsid w:val="00264DA5"/>
    <w:rsid w:val="00274198"/>
    <w:rsid w:val="002829ED"/>
    <w:rsid w:val="0028394A"/>
    <w:rsid w:val="002B0741"/>
    <w:rsid w:val="002C4E69"/>
    <w:rsid w:val="002D7878"/>
    <w:rsid w:val="002E01AF"/>
    <w:rsid w:val="002E4E55"/>
    <w:rsid w:val="002E7FBE"/>
    <w:rsid w:val="002F61BC"/>
    <w:rsid w:val="00310A22"/>
    <w:rsid w:val="003168A2"/>
    <w:rsid w:val="00322C7D"/>
    <w:rsid w:val="00324E81"/>
    <w:rsid w:val="003448D2"/>
    <w:rsid w:val="00344A58"/>
    <w:rsid w:val="003970DC"/>
    <w:rsid w:val="003C52A1"/>
    <w:rsid w:val="003C58CE"/>
    <w:rsid w:val="003E08AD"/>
    <w:rsid w:val="003E7E49"/>
    <w:rsid w:val="003F4E6F"/>
    <w:rsid w:val="003F4FF7"/>
    <w:rsid w:val="00412091"/>
    <w:rsid w:val="00425BC8"/>
    <w:rsid w:val="0042789E"/>
    <w:rsid w:val="004613D8"/>
    <w:rsid w:val="004723C6"/>
    <w:rsid w:val="004A5E50"/>
    <w:rsid w:val="004B263C"/>
    <w:rsid w:val="004B2A7D"/>
    <w:rsid w:val="004E72FB"/>
    <w:rsid w:val="004F5C3D"/>
    <w:rsid w:val="005064E7"/>
    <w:rsid w:val="00507520"/>
    <w:rsid w:val="00511C34"/>
    <w:rsid w:val="005123CD"/>
    <w:rsid w:val="0051270E"/>
    <w:rsid w:val="00561F9F"/>
    <w:rsid w:val="00577B41"/>
    <w:rsid w:val="005949FC"/>
    <w:rsid w:val="005B07D1"/>
    <w:rsid w:val="005C3467"/>
    <w:rsid w:val="005C4445"/>
    <w:rsid w:val="005F716C"/>
    <w:rsid w:val="00600741"/>
    <w:rsid w:val="0061381F"/>
    <w:rsid w:val="00613AE9"/>
    <w:rsid w:val="00616C49"/>
    <w:rsid w:val="00676B6F"/>
    <w:rsid w:val="00687F42"/>
    <w:rsid w:val="0069656B"/>
    <w:rsid w:val="006A42AE"/>
    <w:rsid w:val="006B443C"/>
    <w:rsid w:val="006D0F27"/>
    <w:rsid w:val="006F5B52"/>
    <w:rsid w:val="007035A6"/>
    <w:rsid w:val="00710809"/>
    <w:rsid w:val="0072466A"/>
    <w:rsid w:val="00732D37"/>
    <w:rsid w:val="00752AAE"/>
    <w:rsid w:val="007550B9"/>
    <w:rsid w:val="007553F4"/>
    <w:rsid w:val="0075559B"/>
    <w:rsid w:val="0078330C"/>
    <w:rsid w:val="00790E6E"/>
    <w:rsid w:val="007958A3"/>
    <w:rsid w:val="007977F1"/>
    <w:rsid w:val="007B64DC"/>
    <w:rsid w:val="007C113A"/>
    <w:rsid w:val="007C6A0E"/>
    <w:rsid w:val="007E2DA8"/>
    <w:rsid w:val="007E5B4D"/>
    <w:rsid w:val="008068A7"/>
    <w:rsid w:val="00807B9F"/>
    <w:rsid w:val="00816712"/>
    <w:rsid w:val="008167CB"/>
    <w:rsid w:val="008202F3"/>
    <w:rsid w:val="00822560"/>
    <w:rsid w:val="00830AF5"/>
    <w:rsid w:val="00837FF8"/>
    <w:rsid w:val="00845389"/>
    <w:rsid w:val="008462AC"/>
    <w:rsid w:val="00851458"/>
    <w:rsid w:val="008778CC"/>
    <w:rsid w:val="008E1E91"/>
    <w:rsid w:val="008E2EA1"/>
    <w:rsid w:val="00905CE3"/>
    <w:rsid w:val="00920BA3"/>
    <w:rsid w:val="009216B0"/>
    <w:rsid w:val="00924817"/>
    <w:rsid w:val="009534E1"/>
    <w:rsid w:val="00953569"/>
    <w:rsid w:val="00955998"/>
    <w:rsid w:val="009603C5"/>
    <w:rsid w:val="009630F4"/>
    <w:rsid w:val="0096335E"/>
    <w:rsid w:val="0096618F"/>
    <w:rsid w:val="00966DD6"/>
    <w:rsid w:val="00970F4E"/>
    <w:rsid w:val="009750F7"/>
    <w:rsid w:val="00975E41"/>
    <w:rsid w:val="009807D3"/>
    <w:rsid w:val="009847DC"/>
    <w:rsid w:val="00992B43"/>
    <w:rsid w:val="009A0043"/>
    <w:rsid w:val="009B3C3F"/>
    <w:rsid w:val="009C10BD"/>
    <w:rsid w:val="009C7013"/>
    <w:rsid w:val="009D1848"/>
    <w:rsid w:val="00A01511"/>
    <w:rsid w:val="00A06EB2"/>
    <w:rsid w:val="00A14AB8"/>
    <w:rsid w:val="00A15B9F"/>
    <w:rsid w:val="00A170DA"/>
    <w:rsid w:val="00A210A1"/>
    <w:rsid w:val="00A272FE"/>
    <w:rsid w:val="00A31D39"/>
    <w:rsid w:val="00A455B4"/>
    <w:rsid w:val="00A52A36"/>
    <w:rsid w:val="00A60969"/>
    <w:rsid w:val="00A63FDD"/>
    <w:rsid w:val="00A7362D"/>
    <w:rsid w:val="00A84F96"/>
    <w:rsid w:val="00A91C51"/>
    <w:rsid w:val="00A91E92"/>
    <w:rsid w:val="00AA0C95"/>
    <w:rsid w:val="00AA7F2C"/>
    <w:rsid w:val="00AB115B"/>
    <w:rsid w:val="00AD39E3"/>
    <w:rsid w:val="00AD64E8"/>
    <w:rsid w:val="00AF189F"/>
    <w:rsid w:val="00B1240E"/>
    <w:rsid w:val="00B51134"/>
    <w:rsid w:val="00B653BD"/>
    <w:rsid w:val="00B657C8"/>
    <w:rsid w:val="00B75423"/>
    <w:rsid w:val="00B80545"/>
    <w:rsid w:val="00B816D9"/>
    <w:rsid w:val="00B92B29"/>
    <w:rsid w:val="00B94FFB"/>
    <w:rsid w:val="00BB00E8"/>
    <w:rsid w:val="00BB18B0"/>
    <w:rsid w:val="00BB4745"/>
    <w:rsid w:val="00BE6A31"/>
    <w:rsid w:val="00BF71FB"/>
    <w:rsid w:val="00C0581E"/>
    <w:rsid w:val="00C06A74"/>
    <w:rsid w:val="00C12512"/>
    <w:rsid w:val="00C30D64"/>
    <w:rsid w:val="00C505FE"/>
    <w:rsid w:val="00C82670"/>
    <w:rsid w:val="00C97FAD"/>
    <w:rsid w:val="00CC300E"/>
    <w:rsid w:val="00CF608C"/>
    <w:rsid w:val="00CF7ED4"/>
    <w:rsid w:val="00D04E77"/>
    <w:rsid w:val="00D2755F"/>
    <w:rsid w:val="00D275A3"/>
    <w:rsid w:val="00D357A8"/>
    <w:rsid w:val="00D524D2"/>
    <w:rsid w:val="00D60A32"/>
    <w:rsid w:val="00D61425"/>
    <w:rsid w:val="00D62713"/>
    <w:rsid w:val="00D71BB0"/>
    <w:rsid w:val="00D80250"/>
    <w:rsid w:val="00DA2957"/>
    <w:rsid w:val="00DB32DF"/>
    <w:rsid w:val="00DB3AEB"/>
    <w:rsid w:val="00DD57BA"/>
    <w:rsid w:val="00DE340F"/>
    <w:rsid w:val="00DF5128"/>
    <w:rsid w:val="00E076DD"/>
    <w:rsid w:val="00E2020D"/>
    <w:rsid w:val="00E24254"/>
    <w:rsid w:val="00E735F0"/>
    <w:rsid w:val="00E749A1"/>
    <w:rsid w:val="00EA7FF9"/>
    <w:rsid w:val="00EC0675"/>
    <w:rsid w:val="00EE111B"/>
    <w:rsid w:val="00EE7089"/>
    <w:rsid w:val="00EF05B3"/>
    <w:rsid w:val="00EF4B55"/>
    <w:rsid w:val="00F13AC0"/>
    <w:rsid w:val="00F15236"/>
    <w:rsid w:val="00F20F83"/>
    <w:rsid w:val="00F30AC0"/>
    <w:rsid w:val="00F33A74"/>
    <w:rsid w:val="00F47CFD"/>
    <w:rsid w:val="00F57B49"/>
    <w:rsid w:val="00F92425"/>
    <w:rsid w:val="00FA3C60"/>
    <w:rsid w:val="00FA4877"/>
    <w:rsid w:val="00FA641C"/>
    <w:rsid w:val="00FA771C"/>
    <w:rsid w:val="00FB013E"/>
    <w:rsid w:val="00FB2E58"/>
    <w:rsid w:val="00FB50E7"/>
    <w:rsid w:val="00FB71CD"/>
    <w:rsid w:val="00FB7D08"/>
    <w:rsid w:val="00FD53E9"/>
    <w:rsid w:val="00FE0CA3"/>
    <w:rsid w:val="00FE5030"/>
    <w:rsid w:val="00FE6F40"/>
    <w:rsid w:val="00FF3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715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6D9"/>
    <w:pPr>
      <w:widowControl w:val="0"/>
      <w:snapToGrid w:val="0"/>
      <w:spacing w:line="240" w:lineRule="auto"/>
    </w:pPr>
    <w:rPr>
      <w:rFonts w:eastAsia="Times New Roman" w:cs="Times New Roman"/>
      <w:szCs w:val="20"/>
    </w:rPr>
  </w:style>
  <w:style w:type="paragraph" w:styleId="Heading1">
    <w:name w:val="heading 1"/>
    <w:basedOn w:val="Normal"/>
    <w:next w:val="Normal"/>
    <w:link w:val="Heading1Char"/>
    <w:uiPriority w:val="9"/>
    <w:qFormat/>
    <w:rsid w:val="003448D2"/>
    <w:pPr>
      <w:keepNext/>
      <w:widowControl/>
      <w:snapToGrid/>
      <w:spacing w:line="276" w:lineRule="auto"/>
      <w:jc w:val="center"/>
      <w:outlineLvl w:val="0"/>
    </w:pPr>
    <w:rPr>
      <w:b/>
      <w:szCs w:val="24"/>
      <w:u w:val="single"/>
    </w:rPr>
  </w:style>
  <w:style w:type="paragraph" w:styleId="Heading2">
    <w:name w:val="heading 2"/>
    <w:basedOn w:val="Normal"/>
    <w:next w:val="Normal"/>
    <w:link w:val="Heading2Char"/>
    <w:uiPriority w:val="9"/>
    <w:unhideWhenUsed/>
    <w:qFormat/>
    <w:rsid w:val="00F57B49"/>
    <w:pPr>
      <w:keepNext/>
      <w:widowControl/>
      <w:snapToGrid/>
      <w:spacing w:line="480" w:lineRule="auto"/>
      <w:ind w:left="720" w:hanging="720"/>
      <w:outlineLvl w:val="1"/>
    </w:pPr>
    <w:rPr>
      <w:b/>
      <w:szCs w:val="24"/>
    </w:rPr>
  </w:style>
  <w:style w:type="paragraph" w:styleId="Heading3">
    <w:name w:val="heading 3"/>
    <w:basedOn w:val="Normal"/>
    <w:next w:val="Normal"/>
    <w:link w:val="Heading3Char"/>
    <w:uiPriority w:val="9"/>
    <w:unhideWhenUsed/>
    <w:qFormat/>
    <w:rsid w:val="00953569"/>
    <w:pPr>
      <w:keepNext/>
      <w:widowControl/>
      <w:snapToGrid/>
      <w:spacing w:line="480" w:lineRule="auto"/>
      <w:ind w:left="720"/>
      <w:jc w:val="center"/>
      <w:outlineLvl w:val="2"/>
    </w:pPr>
    <w:rPr>
      <w:b/>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816D9"/>
    <w:pPr>
      <w:widowControl/>
      <w:tabs>
        <w:tab w:val="center" w:pos="4320"/>
        <w:tab w:val="right" w:pos="8640"/>
      </w:tabs>
      <w:snapToGrid/>
    </w:pPr>
  </w:style>
  <w:style w:type="character" w:customStyle="1" w:styleId="FooterChar">
    <w:name w:val="Footer Char"/>
    <w:basedOn w:val="DefaultParagraphFont"/>
    <w:link w:val="Footer"/>
    <w:uiPriority w:val="99"/>
    <w:rsid w:val="00B816D9"/>
    <w:rPr>
      <w:rFonts w:eastAsia="Times New Roman" w:cs="Times New Roman"/>
      <w:szCs w:val="20"/>
    </w:rPr>
  </w:style>
  <w:style w:type="paragraph" w:styleId="Header">
    <w:name w:val="header"/>
    <w:basedOn w:val="Normal"/>
    <w:link w:val="HeaderChar"/>
    <w:uiPriority w:val="99"/>
    <w:unhideWhenUsed/>
    <w:rsid w:val="00D357A8"/>
    <w:pPr>
      <w:tabs>
        <w:tab w:val="center" w:pos="4680"/>
        <w:tab w:val="right" w:pos="9360"/>
      </w:tabs>
    </w:pPr>
  </w:style>
  <w:style w:type="character" w:customStyle="1" w:styleId="HeaderChar">
    <w:name w:val="Header Char"/>
    <w:basedOn w:val="DefaultParagraphFont"/>
    <w:link w:val="Header"/>
    <w:uiPriority w:val="99"/>
    <w:rsid w:val="00D357A8"/>
    <w:rPr>
      <w:rFonts w:eastAsia="Times New Roman" w:cs="Times New Roman"/>
      <w:szCs w:val="20"/>
    </w:rPr>
  </w:style>
  <w:style w:type="paragraph" w:styleId="Title">
    <w:name w:val="Title"/>
    <w:basedOn w:val="Normal"/>
    <w:next w:val="Normal"/>
    <w:link w:val="TitleChar"/>
    <w:uiPriority w:val="10"/>
    <w:qFormat/>
    <w:rsid w:val="000C7552"/>
    <w:pPr>
      <w:jc w:val="center"/>
    </w:pPr>
    <w:rPr>
      <w:b/>
    </w:rPr>
  </w:style>
  <w:style w:type="character" w:customStyle="1" w:styleId="TitleChar">
    <w:name w:val="Title Char"/>
    <w:basedOn w:val="DefaultParagraphFont"/>
    <w:link w:val="Title"/>
    <w:uiPriority w:val="10"/>
    <w:rsid w:val="000C7552"/>
    <w:rPr>
      <w:rFonts w:eastAsia="Times New Roman" w:cs="Times New Roman"/>
      <w:b/>
      <w:szCs w:val="20"/>
    </w:rPr>
  </w:style>
  <w:style w:type="character" w:styleId="Hyperlink">
    <w:name w:val="Hyperlink"/>
    <w:basedOn w:val="DefaultParagraphFont"/>
    <w:uiPriority w:val="99"/>
    <w:unhideWhenUsed/>
    <w:rsid w:val="003970DC"/>
    <w:rPr>
      <w:color w:val="0000FF"/>
      <w:u w:val="single"/>
    </w:rPr>
  </w:style>
  <w:style w:type="character" w:customStyle="1" w:styleId="apple-converted-space">
    <w:name w:val="apple-converted-space"/>
    <w:basedOn w:val="DefaultParagraphFont"/>
    <w:rsid w:val="003970DC"/>
  </w:style>
  <w:style w:type="paragraph" w:styleId="ListParagraph">
    <w:name w:val="List Paragraph"/>
    <w:basedOn w:val="Normal"/>
    <w:uiPriority w:val="34"/>
    <w:qFormat/>
    <w:rsid w:val="00DB32DF"/>
    <w:pPr>
      <w:ind w:left="720"/>
      <w:contextualSpacing/>
    </w:pPr>
  </w:style>
  <w:style w:type="character" w:styleId="FollowedHyperlink">
    <w:name w:val="FollowedHyperlink"/>
    <w:basedOn w:val="DefaultParagraphFont"/>
    <w:uiPriority w:val="99"/>
    <w:semiHidden/>
    <w:unhideWhenUsed/>
    <w:rsid w:val="00F92425"/>
    <w:rPr>
      <w:color w:val="800080" w:themeColor="followedHyperlink"/>
      <w:u w:val="single"/>
    </w:rPr>
  </w:style>
  <w:style w:type="character" w:styleId="Strong">
    <w:name w:val="Strong"/>
    <w:basedOn w:val="DefaultParagraphFont"/>
    <w:uiPriority w:val="22"/>
    <w:qFormat/>
    <w:rsid w:val="009A0043"/>
    <w:rPr>
      <w:b/>
      <w:bCs/>
    </w:rPr>
  </w:style>
  <w:style w:type="character" w:customStyle="1" w:styleId="bold">
    <w:name w:val="bold"/>
    <w:basedOn w:val="DefaultParagraphFont"/>
    <w:rsid w:val="007035A6"/>
  </w:style>
  <w:style w:type="character" w:customStyle="1" w:styleId="Heading1Char">
    <w:name w:val="Heading 1 Char"/>
    <w:basedOn w:val="DefaultParagraphFont"/>
    <w:link w:val="Heading1"/>
    <w:uiPriority w:val="9"/>
    <w:rsid w:val="003448D2"/>
    <w:rPr>
      <w:rFonts w:eastAsia="Times New Roman" w:cs="Times New Roman"/>
      <w:b/>
      <w:szCs w:val="24"/>
      <w:u w:val="single"/>
    </w:rPr>
  </w:style>
  <w:style w:type="paragraph" w:styleId="BodyTextIndent">
    <w:name w:val="Body Text Indent"/>
    <w:basedOn w:val="Normal"/>
    <w:link w:val="BodyTextIndentChar"/>
    <w:uiPriority w:val="99"/>
    <w:unhideWhenUsed/>
    <w:rsid w:val="00EF4B55"/>
    <w:pPr>
      <w:widowControl/>
      <w:snapToGrid/>
      <w:spacing w:line="276" w:lineRule="auto"/>
      <w:ind w:left="720"/>
    </w:pPr>
    <w:rPr>
      <w:b/>
      <w:szCs w:val="24"/>
    </w:rPr>
  </w:style>
  <w:style w:type="character" w:customStyle="1" w:styleId="BodyTextIndentChar">
    <w:name w:val="Body Text Indent Char"/>
    <w:basedOn w:val="DefaultParagraphFont"/>
    <w:link w:val="BodyTextIndent"/>
    <w:uiPriority w:val="99"/>
    <w:rsid w:val="00EF4B55"/>
    <w:rPr>
      <w:rFonts w:eastAsia="Times New Roman" w:cs="Times New Roman"/>
      <w:b/>
      <w:szCs w:val="24"/>
    </w:rPr>
  </w:style>
  <w:style w:type="paragraph" w:styleId="BodyTextIndent2">
    <w:name w:val="Body Text Indent 2"/>
    <w:basedOn w:val="Normal"/>
    <w:link w:val="BodyTextIndent2Char"/>
    <w:uiPriority w:val="99"/>
    <w:unhideWhenUsed/>
    <w:rsid w:val="00A31D39"/>
    <w:pPr>
      <w:widowControl/>
      <w:snapToGrid/>
      <w:spacing w:line="276" w:lineRule="auto"/>
      <w:ind w:firstLine="720"/>
    </w:pPr>
    <w:rPr>
      <w:szCs w:val="24"/>
    </w:rPr>
  </w:style>
  <w:style w:type="character" w:customStyle="1" w:styleId="BodyTextIndent2Char">
    <w:name w:val="Body Text Indent 2 Char"/>
    <w:basedOn w:val="DefaultParagraphFont"/>
    <w:link w:val="BodyTextIndent2"/>
    <w:uiPriority w:val="99"/>
    <w:rsid w:val="00A31D39"/>
    <w:rPr>
      <w:rFonts w:eastAsia="Times New Roman" w:cs="Times New Roman"/>
      <w:szCs w:val="24"/>
    </w:rPr>
  </w:style>
  <w:style w:type="character" w:styleId="Emphasis">
    <w:name w:val="Emphasis"/>
    <w:basedOn w:val="DefaultParagraphFont"/>
    <w:uiPriority w:val="20"/>
    <w:qFormat/>
    <w:rsid w:val="00966DD6"/>
    <w:rPr>
      <w:i/>
      <w:iCs/>
    </w:rPr>
  </w:style>
  <w:style w:type="paragraph" w:styleId="NoSpacing">
    <w:name w:val="No Spacing"/>
    <w:uiPriority w:val="1"/>
    <w:qFormat/>
    <w:rsid w:val="00966DD6"/>
    <w:pPr>
      <w:widowControl w:val="0"/>
      <w:snapToGrid w:val="0"/>
      <w:spacing w:line="240" w:lineRule="auto"/>
    </w:pPr>
    <w:rPr>
      <w:rFonts w:eastAsia="Times New Roman" w:cs="Times New Roman"/>
      <w:szCs w:val="20"/>
    </w:rPr>
  </w:style>
  <w:style w:type="paragraph" w:styleId="BlockText">
    <w:name w:val="Block Text"/>
    <w:basedOn w:val="Normal"/>
    <w:uiPriority w:val="99"/>
    <w:unhideWhenUsed/>
    <w:rsid w:val="00264DA5"/>
    <w:pPr>
      <w:widowControl/>
      <w:snapToGrid/>
      <w:ind w:left="720" w:right="720"/>
    </w:pPr>
    <w:rPr>
      <w:szCs w:val="24"/>
    </w:rPr>
  </w:style>
  <w:style w:type="character" w:customStyle="1" w:styleId="Heading2Char">
    <w:name w:val="Heading 2 Char"/>
    <w:basedOn w:val="DefaultParagraphFont"/>
    <w:link w:val="Heading2"/>
    <w:uiPriority w:val="9"/>
    <w:rsid w:val="00F57B49"/>
    <w:rPr>
      <w:rFonts w:eastAsia="Times New Roman" w:cs="Times New Roman"/>
      <w:b/>
      <w:szCs w:val="24"/>
    </w:rPr>
  </w:style>
  <w:style w:type="character" w:customStyle="1" w:styleId="Heading3Char">
    <w:name w:val="Heading 3 Char"/>
    <w:basedOn w:val="DefaultParagraphFont"/>
    <w:link w:val="Heading3"/>
    <w:uiPriority w:val="9"/>
    <w:rsid w:val="00953569"/>
    <w:rPr>
      <w:rFonts w:eastAsia="Times New Roman" w:cs="Times New Roman"/>
      <w:b/>
      <w:szCs w:val="24"/>
      <w:u w:val="single"/>
    </w:rPr>
  </w:style>
  <w:style w:type="paragraph" w:styleId="BalloonText">
    <w:name w:val="Balloon Text"/>
    <w:basedOn w:val="Normal"/>
    <w:link w:val="BalloonTextChar"/>
    <w:uiPriority w:val="99"/>
    <w:semiHidden/>
    <w:unhideWhenUsed/>
    <w:rsid w:val="00AD39E3"/>
    <w:rPr>
      <w:rFonts w:ascii="Tahoma" w:hAnsi="Tahoma" w:cs="Tahoma"/>
      <w:sz w:val="16"/>
      <w:szCs w:val="16"/>
    </w:rPr>
  </w:style>
  <w:style w:type="character" w:customStyle="1" w:styleId="BalloonTextChar">
    <w:name w:val="Balloon Text Char"/>
    <w:basedOn w:val="DefaultParagraphFont"/>
    <w:link w:val="BalloonText"/>
    <w:uiPriority w:val="99"/>
    <w:semiHidden/>
    <w:rsid w:val="00AD39E3"/>
    <w:rPr>
      <w:rFonts w:ascii="Tahoma" w:eastAsia="Times New Roman"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6D9"/>
    <w:pPr>
      <w:widowControl w:val="0"/>
      <w:snapToGrid w:val="0"/>
      <w:spacing w:line="240" w:lineRule="auto"/>
    </w:pPr>
    <w:rPr>
      <w:rFonts w:eastAsia="Times New Roman" w:cs="Times New Roman"/>
      <w:szCs w:val="20"/>
    </w:rPr>
  </w:style>
  <w:style w:type="paragraph" w:styleId="Heading1">
    <w:name w:val="heading 1"/>
    <w:basedOn w:val="Normal"/>
    <w:next w:val="Normal"/>
    <w:link w:val="Heading1Char"/>
    <w:uiPriority w:val="9"/>
    <w:qFormat/>
    <w:rsid w:val="003448D2"/>
    <w:pPr>
      <w:keepNext/>
      <w:widowControl/>
      <w:snapToGrid/>
      <w:spacing w:line="276" w:lineRule="auto"/>
      <w:jc w:val="center"/>
      <w:outlineLvl w:val="0"/>
    </w:pPr>
    <w:rPr>
      <w:b/>
      <w:szCs w:val="24"/>
      <w:u w:val="single"/>
    </w:rPr>
  </w:style>
  <w:style w:type="paragraph" w:styleId="Heading2">
    <w:name w:val="heading 2"/>
    <w:basedOn w:val="Normal"/>
    <w:next w:val="Normal"/>
    <w:link w:val="Heading2Char"/>
    <w:uiPriority w:val="9"/>
    <w:unhideWhenUsed/>
    <w:qFormat/>
    <w:rsid w:val="00F57B49"/>
    <w:pPr>
      <w:keepNext/>
      <w:widowControl/>
      <w:snapToGrid/>
      <w:spacing w:line="480" w:lineRule="auto"/>
      <w:ind w:left="720" w:hanging="720"/>
      <w:outlineLvl w:val="1"/>
    </w:pPr>
    <w:rPr>
      <w:b/>
      <w:szCs w:val="24"/>
    </w:rPr>
  </w:style>
  <w:style w:type="paragraph" w:styleId="Heading3">
    <w:name w:val="heading 3"/>
    <w:basedOn w:val="Normal"/>
    <w:next w:val="Normal"/>
    <w:link w:val="Heading3Char"/>
    <w:uiPriority w:val="9"/>
    <w:unhideWhenUsed/>
    <w:qFormat/>
    <w:rsid w:val="00953569"/>
    <w:pPr>
      <w:keepNext/>
      <w:widowControl/>
      <w:snapToGrid/>
      <w:spacing w:line="480" w:lineRule="auto"/>
      <w:ind w:left="720"/>
      <w:jc w:val="center"/>
      <w:outlineLvl w:val="2"/>
    </w:pPr>
    <w:rPr>
      <w:b/>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816D9"/>
    <w:pPr>
      <w:widowControl/>
      <w:tabs>
        <w:tab w:val="center" w:pos="4320"/>
        <w:tab w:val="right" w:pos="8640"/>
      </w:tabs>
      <w:snapToGrid/>
    </w:pPr>
  </w:style>
  <w:style w:type="character" w:customStyle="1" w:styleId="FooterChar">
    <w:name w:val="Footer Char"/>
    <w:basedOn w:val="DefaultParagraphFont"/>
    <w:link w:val="Footer"/>
    <w:uiPriority w:val="99"/>
    <w:rsid w:val="00B816D9"/>
    <w:rPr>
      <w:rFonts w:eastAsia="Times New Roman" w:cs="Times New Roman"/>
      <w:szCs w:val="20"/>
    </w:rPr>
  </w:style>
  <w:style w:type="paragraph" w:styleId="Header">
    <w:name w:val="header"/>
    <w:basedOn w:val="Normal"/>
    <w:link w:val="HeaderChar"/>
    <w:uiPriority w:val="99"/>
    <w:unhideWhenUsed/>
    <w:rsid w:val="00D357A8"/>
    <w:pPr>
      <w:tabs>
        <w:tab w:val="center" w:pos="4680"/>
        <w:tab w:val="right" w:pos="9360"/>
      </w:tabs>
    </w:pPr>
  </w:style>
  <w:style w:type="character" w:customStyle="1" w:styleId="HeaderChar">
    <w:name w:val="Header Char"/>
    <w:basedOn w:val="DefaultParagraphFont"/>
    <w:link w:val="Header"/>
    <w:uiPriority w:val="99"/>
    <w:rsid w:val="00D357A8"/>
    <w:rPr>
      <w:rFonts w:eastAsia="Times New Roman" w:cs="Times New Roman"/>
      <w:szCs w:val="20"/>
    </w:rPr>
  </w:style>
  <w:style w:type="paragraph" w:styleId="Title">
    <w:name w:val="Title"/>
    <w:basedOn w:val="Normal"/>
    <w:next w:val="Normal"/>
    <w:link w:val="TitleChar"/>
    <w:uiPriority w:val="10"/>
    <w:qFormat/>
    <w:rsid w:val="000C7552"/>
    <w:pPr>
      <w:jc w:val="center"/>
    </w:pPr>
    <w:rPr>
      <w:b/>
    </w:rPr>
  </w:style>
  <w:style w:type="character" w:customStyle="1" w:styleId="TitleChar">
    <w:name w:val="Title Char"/>
    <w:basedOn w:val="DefaultParagraphFont"/>
    <w:link w:val="Title"/>
    <w:uiPriority w:val="10"/>
    <w:rsid w:val="000C7552"/>
    <w:rPr>
      <w:rFonts w:eastAsia="Times New Roman" w:cs="Times New Roman"/>
      <w:b/>
      <w:szCs w:val="20"/>
    </w:rPr>
  </w:style>
  <w:style w:type="character" w:styleId="Hyperlink">
    <w:name w:val="Hyperlink"/>
    <w:basedOn w:val="DefaultParagraphFont"/>
    <w:uiPriority w:val="99"/>
    <w:unhideWhenUsed/>
    <w:rsid w:val="003970DC"/>
    <w:rPr>
      <w:color w:val="0000FF"/>
      <w:u w:val="single"/>
    </w:rPr>
  </w:style>
  <w:style w:type="character" w:customStyle="1" w:styleId="apple-converted-space">
    <w:name w:val="apple-converted-space"/>
    <w:basedOn w:val="DefaultParagraphFont"/>
    <w:rsid w:val="003970DC"/>
  </w:style>
  <w:style w:type="paragraph" w:styleId="ListParagraph">
    <w:name w:val="List Paragraph"/>
    <w:basedOn w:val="Normal"/>
    <w:uiPriority w:val="34"/>
    <w:qFormat/>
    <w:rsid w:val="00DB32DF"/>
    <w:pPr>
      <w:ind w:left="720"/>
      <w:contextualSpacing/>
    </w:pPr>
  </w:style>
  <w:style w:type="character" w:styleId="FollowedHyperlink">
    <w:name w:val="FollowedHyperlink"/>
    <w:basedOn w:val="DefaultParagraphFont"/>
    <w:uiPriority w:val="99"/>
    <w:semiHidden/>
    <w:unhideWhenUsed/>
    <w:rsid w:val="00F92425"/>
    <w:rPr>
      <w:color w:val="800080" w:themeColor="followedHyperlink"/>
      <w:u w:val="single"/>
    </w:rPr>
  </w:style>
  <w:style w:type="character" w:styleId="Strong">
    <w:name w:val="Strong"/>
    <w:basedOn w:val="DefaultParagraphFont"/>
    <w:uiPriority w:val="22"/>
    <w:qFormat/>
    <w:rsid w:val="009A0043"/>
    <w:rPr>
      <w:b/>
      <w:bCs/>
    </w:rPr>
  </w:style>
  <w:style w:type="character" w:customStyle="1" w:styleId="bold">
    <w:name w:val="bold"/>
    <w:basedOn w:val="DefaultParagraphFont"/>
    <w:rsid w:val="007035A6"/>
  </w:style>
  <w:style w:type="character" w:customStyle="1" w:styleId="Heading1Char">
    <w:name w:val="Heading 1 Char"/>
    <w:basedOn w:val="DefaultParagraphFont"/>
    <w:link w:val="Heading1"/>
    <w:uiPriority w:val="9"/>
    <w:rsid w:val="003448D2"/>
    <w:rPr>
      <w:rFonts w:eastAsia="Times New Roman" w:cs="Times New Roman"/>
      <w:b/>
      <w:szCs w:val="24"/>
      <w:u w:val="single"/>
    </w:rPr>
  </w:style>
  <w:style w:type="paragraph" w:styleId="BodyTextIndent">
    <w:name w:val="Body Text Indent"/>
    <w:basedOn w:val="Normal"/>
    <w:link w:val="BodyTextIndentChar"/>
    <w:uiPriority w:val="99"/>
    <w:unhideWhenUsed/>
    <w:rsid w:val="00EF4B55"/>
    <w:pPr>
      <w:widowControl/>
      <w:snapToGrid/>
      <w:spacing w:line="276" w:lineRule="auto"/>
      <w:ind w:left="720"/>
    </w:pPr>
    <w:rPr>
      <w:b/>
      <w:szCs w:val="24"/>
    </w:rPr>
  </w:style>
  <w:style w:type="character" w:customStyle="1" w:styleId="BodyTextIndentChar">
    <w:name w:val="Body Text Indent Char"/>
    <w:basedOn w:val="DefaultParagraphFont"/>
    <w:link w:val="BodyTextIndent"/>
    <w:uiPriority w:val="99"/>
    <w:rsid w:val="00EF4B55"/>
    <w:rPr>
      <w:rFonts w:eastAsia="Times New Roman" w:cs="Times New Roman"/>
      <w:b/>
      <w:szCs w:val="24"/>
    </w:rPr>
  </w:style>
  <w:style w:type="paragraph" w:styleId="BodyTextIndent2">
    <w:name w:val="Body Text Indent 2"/>
    <w:basedOn w:val="Normal"/>
    <w:link w:val="BodyTextIndent2Char"/>
    <w:uiPriority w:val="99"/>
    <w:unhideWhenUsed/>
    <w:rsid w:val="00A31D39"/>
    <w:pPr>
      <w:widowControl/>
      <w:snapToGrid/>
      <w:spacing w:line="276" w:lineRule="auto"/>
      <w:ind w:firstLine="720"/>
    </w:pPr>
    <w:rPr>
      <w:szCs w:val="24"/>
    </w:rPr>
  </w:style>
  <w:style w:type="character" w:customStyle="1" w:styleId="BodyTextIndent2Char">
    <w:name w:val="Body Text Indent 2 Char"/>
    <w:basedOn w:val="DefaultParagraphFont"/>
    <w:link w:val="BodyTextIndent2"/>
    <w:uiPriority w:val="99"/>
    <w:rsid w:val="00A31D39"/>
    <w:rPr>
      <w:rFonts w:eastAsia="Times New Roman" w:cs="Times New Roman"/>
      <w:szCs w:val="24"/>
    </w:rPr>
  </w:style>
  <w:style w:type="character" w:styleId="Emphasis">
    <w:name w:val="Emphasis"/>
    <w:basedOn w:val="DefaultParagraphFont"/>
    <w:uiPriority w:val="20"/>
    <w:qFormat/>
    <w:rsid w:val="00966DD6"/>
    <w:rPr>
      <w:i/>
      <w:iCs/>
    </w:rPr>
  </w:style>
  <w:style w:type="paragraph" w:styleId="NoSpacing">
    <w:name w:val="No Spacing"/>
    <w:uiPriority w:val="1"/>
    <w:qFormat/>
    <w:rsid w:val="00966DD6"/>
    <w:pPr>
      <w:widowControl w:val="0"/>
      <w:snapToGrid w:val="0"/>
      <w:spacing w:line="240" w:lineRule="auto"/>
    </w:pPr>
    <w:rPr>
      <w:rFonts w:eastAsia="Times New Roman" w:cs="Times New Roman"/>
      <w:szCs w:val="20"/>
    </w:rPr>
  </w:style>
  <w:style w:type="paragraph" w:styleId="BlockText">
    <w:name w:val="Block Text"/>
    <w:basedOn w:val="Normal"/>
    <w:uiPriority w:val="99"/>
    <w:unhideWhenUsed/>
    <w:rsid w:val="00264DA5"/>
    <w:pPr>
      <w:widowControl/>
      <w:snapToGrid/>
      <w:ind w:left="720" w:right="720"/>
    </w:pPr>
    <w:rPr>
      <w:szCs w:val="24"/>
    </w:rPr>
  </w:style>
  <w:style w:type="character" w:customStyle="1" w:styleId="Heading2Char">
    <w:name w:val="Heading 2 Char"/>
    <w:basedOn w:val="DefaultParagraphFont"/>
    <w:link w:val="Heading2"/>
    <w:uiPriority w:val="9"/>
    <w:rsid w:val="00F57B49"/>
    <w:rPr>
      <w:rFonts w:eastAsia="Times New Roman" w:cs="Times New Roman"/>
      <w:b/>
      <w:szCs w:val="24"/>
    </w:rPr>
  </w:style>
  <w:style w:type="character" w:customStyle="1" w:styleId="Heading3Char">
    <w:name w:val="Heading 3 Char"/>
    <w:basedOn w:val="DefaultParagraphFont"/>
    <w:link w:val="Heading3"/>
    <w:uiPriority w:val="9"/>
    <w:rsid w:val="00953569"/>
    <w:rPr>
      <w:rFonts w:eastAsia="Times New Roman" w:cs="Times New Roman"/>
      <w:b/>
      <w:szCs w:val="24"/>
      <w:u w:val="single"/>
    </w:rPr>
  </w:style>
  <w:style w:type="paragraph" w:styleId="BalloonText">
    <w:name w:val="Balloon Text"/>
    <w:basedOn w:val="Normal"/>
    <w:link w:val="BalloonTextChar"/>
    <w:uiPriority w:val="99"/>
    <w:semiHidden/>
    <w:unhideWhenUsed/>
    <w:rsid w:val="00AD39E3"/>
    <w:rPr>
      <w:rFonts w:ascii="Tahoma" w:hAnsi="Tahoma" w:cs="Tahoma"/>
      <w:sz w:val="16"/>
      <w:szCs w:val="16"/>
    </w:rPr>
  </w:style>
  <w:style w:type="character" w:customStyle="1" w:styleId="BalloonTextChar">
    <w:name w:val="Balloon Text Char"/>
    <w:basedOn w:val="DefaultParagraphFont"/>
    <w:link w:val="BalloonText"/>
    <w:uiPriority w:val="99"/>
    <w:semiHidden/>
    <w:rsid w:val="00AD39E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17591">
      <w:bodyDiv w:val="1"/>
      <w:marLeft w:val="0"/>
      <w:marRight w:val="0"/>
      <w:marTop w:val="0"/>
      <w:marBottom w:val="0"/>
      <w:divBdr>
        <w:top w:val="none" w:sz="0" w:space="0" w:color="auto"/>
        <w:left w:val="none" w:sz="0" w:space="0" w:color="auto"/>
        <w:bottom w:val="none" w:sz="0" w:space="0" w:color="auto"/>
        <w:right w:val="none" w:sz="0" w:space="0" w:color="auto"/>
      </w:divBdr>
      <w:divsChild>
        <w:div w:id="822354126">
          <w:marLeft w:val="0"/>
          <w:marRight w:val="0"/>
          <w:marTop w:val="0"/>
          <w:marBottom w:val="0"/>
          <w:divBdr>
            <w:top w:val="none" w:sz="0" w:space="0" w:color="auto"/>
            <w:left w:val="none" w:sz="0" w:space="0" w:color="auto"/>
            <w:bottom w:val="none" w:sz="0" w:space="0" w:color="auto"/>
            <w:right w:val="none" w:sz="0" w:space="0" w:color="auto"/>
          </w:divBdr>
          <w:divsChild>
            <w:div w:id="1408310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540669">
      <w:bodyDiv w:val="1"/>
      <w:marLeft w:val="0"/>
      <w:marRight w:val="0"/>
      <w:marTop w:val="0"/>
      <w:marBottom w:val="0"/>
      <w:divBdr>
        <w:top w:val="none" w:sz="0" w:space="0" w:color="auto"/>
        <w:left w:val="none" w:sz="0" w:space="0" w:color="auto"/>
        <w:bottom w:val="none" w:sz="0" w:space="0" w:color="auto"/>
        <w:right w:val="none" w:sz="0" w:space="0" w:color="auto"/>
      </w:divBdr>
      <w:divsChild>
        <w:div w:id="1326855849">
          <w:marLeft w:val="0"/>
          <w:marRight w:val="0"/>
          <w:marTop w:val="0"/>
          <w:marBottom w:val="0"/>
          <w:divBdr>
            <w:top w:val="none" w:sz="0" w:space="0" w:color="auto"/>
            <w:left w:val="none" w:sz="0" w:space="0" w:color="auto"/>
            <w:bottom w:val="none" w:sz="0" w:space="0" w:color="auto"/>
            <w:right w:val="none" w:sz="0" w:space="0" w:color="auto"/>
          </w:divBdr>
          <w:divsChild>
            <w:div w:id="195166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52014">
      <w:bodyDiv w:val="1"/>
      <w:marLeft w:val="0"/>
      <w:marRight w:val="0"/>
      <w:marTop w:val="0"/>
      <w:marBottom w:val="0"/>
      <w:divBdr>
        <w:top w:val="none" w:sz="0" w:space="0" w:color="auto"/>
        <w:left w:val="none" w:sz="0" w:space="0" w:color="auto"/>
        <w:bottom w:val="none" w:sz="0" w:space="0" w:color="auto"/>
        <w:right w:val="none" w:sz="0" w:space="0" w:color="auto"/>
      </w:divBdr>
    </w:div>
    <w:div w:id="606347172">
      <w:bodyDiv w:val="1"/>
      <w:marLeft w:val="0"/>
      <w:marRight w:val="0"/>
      <w:marTop w:val="0"/>
      <w:marBottom w:val="0"/>
      <w:divBdr>
        <w:top w:val="none" w:sz="0" w:space="0" w:color="auto"/>
        <w:left w:val="none" w:sz="0" w:space="0" w:color="auto"/>
        <w:bottom w:val="none" w:sz="0" w:space="0" w:color="auto"/>
        <w:right w:val="none" w:sz="0" w:space="0" w:color="auto"/>
      </w:divBdr>
    </w:div>
    <w:div w:id="735277095">
      <w:bodyDiv w:val="1"/>
      <w:marLeft w:val="0"/>
      <w:marRight w:val="0"/>
      <w:marTop w:val="0"/>
      <w:marBottom w:val="0"/>
      <w:divBdr>
        <w:top w:val="none" w:sz="0" w:space="0" w:color="auto"/>
        <w:left w:val="none" w:sz="0" w:space="0" w:color="auto"/>
        <w:bottom w:val="none" w:sz="0" w:space="0" w:color="auto"/>
        <w:right w:val="none" w:sz="0" w:space="0" w:color="auto"/>
      </w:divBdr>
      <w:divsChild>
        <w:div w:id="1761485501">
          <w:marLeft w:val="0"/>
          <w:marRight w:val="0"/>
          <w:marTop w:val="0"/>
          <w:marBottom w:val="0"/>
          <w:divBdr>
            <w:top w:val="none" w:sz="0" w:space="0" w:color="auto"/>
            <w:left w:val="none" w:sz="0" w:space="0" w:color="auto"/>
            <w:bottom w:val="none" w:sz="0" w:space="0" w:color="auto"/>
            <w:right w:val="none" w:sz="0" w:space="0" w:color="auto"/>
          </w:divBdr>
          <w:divsChild>
            <w:div w:id="144199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125387">
      <w:bodyDiv w:val="1"/>
      <w:marLeft w:val="0"/>
      <w:marRight w:val="0"/>
      <w:marTop w:val="0"/>
      <w:marBottom w:val="0"/>
      <w:divBdr>
        <w:top w:val="none" w:sz="0" w:space="0" w:color="auto"/>
        <w:left w:val="none" w:sz="0" w:space="0" w:color="auto"/>
        <w:bottom w:val="none" w:sz="0" w:space="0" w:color="auto"/>
        <w:right w:val="none" w:sz="0" w:space="0" w:color="auto"/>
      </w:divBdr>
      <w:divsChild>
        <w:div w:id="243955666">
          <w:marLeft w:val="180"/>
          <w:marRight w:val="0"/>
          <w:marTop w:val="0"/>
          <w:marBottom w:val="0"/>
          <w:divBdr>
            <w:top w:val="none" w:sz="0" w:space="0" w:color="auto"/>
            <w:left w:val="none" w:sz="0" w:space="0" w:color="auto"/>
            <w:bottom w:val="none" w:sz="0" w:space="0" w:color="auto"/>
            <w:right w:val="none" w:sz="0" w:space="0" w:color="auto"/>
          </w:divBdr>
        </w:div>
        <w:div w:id="2087920943">
          <w:marLeft w:val="0"/>
          <w:marRight w:val="0"/>
          <w:marTop w:val="0"/>
          <w:marBottom w:val="0"/>
          <w:divBdr>
            <w:top w:val="none" w:sz="0" w:space="0" w:color="auto"/>
            <w:left w:val="none" w:sz="0" w:space="0" w:color="auto"/>
            <w:bottom w:val="none" w:sz="0" w:space="0" w:color="auto"/>
            <w:right w:val="none" w:sz="0" w:space="0" w:color="auto"/>
          </w:divBdr>
        </w:div>
      </w:divsChild>
    </w:div>
    <w:div w:id="1558786970">
      <w:bodyDiv w:val="1"/>
      <w:marLeft w:val="0"/>
      <w:marRight w:val="0"/>
      <w:marTop w:val="0"/>
      <w:marBottom w:val="0"/>
      <w:divBdr>
        <w:top w:val="none" w:sz="0" w:space="0" w:color="auto"/>
        <w:left w:val="none" w:sz="0" w:space="0" w:color="auto"/>
        <w:bottom w:val="none" w:sz="0" w:space="0" w:color="auto"/>
        <w:right w:val="none" w:sz="0" w:space="0" w:color="auto"/>
      </w:divBdr>
      <w:divsChild>
        <w:div w:id="360589814">
          <w:marLeft w:val="0"/>
          <w:marRight w:val="0"/>
          <w:marTop w:val="0"/>
          <w:marBottom w:val="0"/>
          <w:divBdr>
            <w:top w:val="none" w:sz="0" w:space="0" w:color="auto"/>
            <w:left w:val="none" w:sz="0" w:space="0" w:color="auto"/>
            <w:bottom w:val="none" w:sz="0" w:space="0" w:color="auto"/>
            <w:right w:val="none" w:sz="0" w:space="0" w:color="auto"/>
          </w:divBdr>
          <w:divsChild>
            <w:div w:id="145254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634127">
      <w:bodyDiv w:val="1"/>
      <w:marLeft w:val="0"/>
      <w:marRight w:val="0"/>
      <w:marTop w:val="0"/>
      <w:marBottom w:val="0"/>
      <w:divBdr>
        <w:top w:val="none" w:sz="0" w:space="0" w:color="auto"/>
        <w:left w:val="none" w:sz="0" w:space="0" w:color="auto"/>
        <w:bottom w:val="none" w:sz="0" w:space="0" w:color="auto"/>
        <w:right w:val="none" w:sz="0" w:space="0" w:color="auto"/>
      </w:divBdr>
      <w:divsChild>
        <w:div w:id="662785082">
          <w:marLeft w:val="0"/>
          <w:marRight w:val="0"/>
          <w:marTop w:val="0"/>
          <w:marBottom w:val="0"/>
          <w:divBdr>
            <w:top w:val="none" w:sz="0" w:space="0" w:color="auto"/>
            <w:left w:val="none" w:sz="0" w:space="0" w:color="auto"/>
            <w:bottom w:val="none" w:sz="0" w:space="0" w:color="auto"/>
            <w:right w:val="none" w:sz="0" w:space="0" w:color="auto"/>
          </w:divBdr>
          <w:divsChild>
            <w:div w:id="82447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4366</Words>
  <Characters>24017</Characters>
  <Application>Microsoft Macintosh Word</Application>
  <DocSecurity>0</DocSecurity>
  <Lines>387</Lines>
  <Paragraphs>96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28287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2012-04-05T17:29:00Z</cp:lastPrinted>
  <dcterms:created xsi:type="dcterms:W3CDTF">2012-04-12T12:04:00Z</dcterms:created>
  <dcterms:modified xsi:type="dcterms:W3CDTF">2012-06-01T20:43:00Z</dcterms:modified>
  <cp:category/>
</cp:coreProperties>
</file>